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7C34" w:rsidRDefault="00C57C34" w:rsidP="00C57C34">
      <w:pPr>
        <w:spacing w:line="360" w:lineRule="auto"/>
        <w:ind w:firstLine="284"/>
        <w:jc w:val="right"/>
        <w:rPr>
          <w:rFonts w:ascii="Times New Roman" w:hAnsi="Times New Roman" w:cs="Times New Roman"/>
          <w:b/>
          <w:bCs/>
          <w:color w:val="414141"/>
          <w:sz w:val="28"/>
          <w:szCs w:val="28"/>
          <w:shd w:val="clear" w:color="auto" w:fill="FFFFFF"/>
          <w:lang w:val="ru-RU"/>
        </w:rPr>
      </w:pPr>
      <w:r w:rsidRPr="00C57C34">
        <w:rPr>
          <w:rFonts w:ascii="Times New Roman" w:hAnsi="Times New Roman" w:cs="Times New Roman"/>
          <w:b/>
          <w:bCs/>
          <w:color w:val="414141"/>
          <w:sz w:val="28"/>
          <w:szCs w:val="28"/>
          <w:shd w:val="clear" w:color="auto" w:fill="FFFFFF"/>
          <w:lang w:val="ru-RU"/>
        </w:rPr>
        <w:t>УДК: 616.8</w:t>
      </w:r>
      <w:r w:rsidRPr="00C57C34">
        <w:rPr>
          <w:rFonts w:ascii="Times New Roman" w:hAnsi="Times New Roman" w:cs="Times New Roman"/>
          <w:b/>
          <w:bCs/>
          <w:color w:val="414141"/>
          <w:sz w:val="28"/>
          <w:szCs w:val="28"/>
          <w:shd w:val="clear" w:color="auto" w:fill="FFFFFF"/>
          <w:lang w:val="en-US"/>
        </w:rPr>
        <w:t>53</w:t>
      </w:r>
      <w:r w:rsidRPr="00C57C34">
        <w:rPr>
          <w:rFonts w:ascii="Times New Roman" w:hAnsi="Times New Roman" w:cs="Times New Roman"/>
          <w:b/>
          <w:bCs/>
          <w:color w:val="414141"/>
          <w:sz w:val="28"/>
          <w:szCs w:val="28"/>
          <w:shd w:val="clear" w:color="auto" w:fill="FFFFFF"/>
          <w:lang w:val="ru-RU"/>
        </w:rPr>
        <w:t>-08</w:t>
      </w:r>
      <w:r w:rsidRPr="00C57C34">
        <w:rPr>
          <w:rFonts w:ascii="Times New Roman" w:hAnsi="Times New Roman" w:cs="Times New Roman"/>
          <w:b/>
          <w:bCs/>
          <w:color w:val="414141"/>
          <w:sz w:val="28"/>
          <w:szCs w:val="28"/>
          <w:shd w:val="clear" w:color="auto" w:fill="FFFFFF"/>
          <w:lang w:val="en-US"/>
        </w:rPr>
        <w:t>9</w:t>
      </w:r>
      <w:r w:rsidRPr="00C57C34">
        <w:rPr>
          <w:rFonts w:ascii="Times New Roman" w:hAnsi="Times New Roman" w:cs="Times New Roman"/>
          <w:b/>
          <w:bCs/>
          <w:color w:val="414141"/>
          <w:sz w:val="28"/>
          <w:szCs w:val="28"/>
          <w:shd w:val="clear" w:color="auto" w:fill="FFFFFF"/>
          <w:lang w:val="ru-RU"/>
        </w:rPr>
        <w:t>.</w:t>
      </w:r>
      <w:r w:rsidRPr="00C57C34">
        <w:rPr>
          <w:rFonts w:ascii="Times New Roman" w:hAnsi="Times New Roman" w:cs="Times New Roman"/>
          <w:b/>
          <w:bCs/>
          <w:color w:val="414141"/>
          <w:sz w:val="28"/>
          <w:szCs w:val="28"/>
          <w:shd w:val="clear" w:color="auto" w:fill="FFFFFF"/>
          <w:lang w:val="en-US"/>
        </w:rPr>
        <w:t>87</w:t>
      </w:r>
    </w:p>
    <w:p w:rsidR="004F2C3E" w:rsidRPr="004F2C3E" w:rsidRDefault="004F2C3E" w:rsidP="004F2C3E">
      <w:pPr>
        <w:spacing w:after="0" w:line="360" w:lineRule="auto"/>
        <w:jc w:val="right"/>
        <w:rPr>
          <w:rFonts w:ascii="Times New Roman" w:hAnsi="Times New Roman" w:cs="Times New Roman"/>
          <w:b/>
          <w:bCs/>
          <w:color w:val="414141"/>
          <w:shd w:val="clear" w:color="auto" w:fill="FFFFFF"/>
          <w:lang w:val="ru-RU"/>
        </w:rPr>
      </w:pPr>
      <w:r w:rsidRPr="00C57C34">
        <w:rPr>
          <w:rFonts w:ascii="Times New Roman" w:hAnsi="Times New Roman" w:cs="Times New Roman"/>
          <w:b/>
          <w:bCs/>
          <w:color w:val="414141"/>
          <w:shd w:val="clear" w:color="auto" w:fill="FFFFFF"/>
        </w:rPr>
        <w:t>Хусниддинов Шeрзод Рихсиддин угли¹, Шамсиева Умида Абдувахитовна.²</w:t>
      </w:r>
    </w:p>
    <w:p w:rsidR="004F2C3E" w:rsidRPr="00C57C34" w:rsidRDefault="004F2C3E" w:rsidP="004F2C3E">
      <w:pPr>
        <w:spacing w:after="0" w:line="360" w:lineRule="auto"/>
        <w:jc w:val="right"/>
        <w:rPr>
          <w:rFonts w:ascii="Times New Roman" w:hAnsi="Times New Roman" w:cs="Times New Roman"/>
          <w:color w:val="414141"/>
          <w:shd w:val="clear" w:color="auto" w:fill="FFFFFF"/>
          <w:vertAlign w:val="superscript"/>
          <w:lang w:val="ru-RU"/>
        </w:rPr>
      </w:pPr>
      <w:proofErr w:type="spellStart"/>
      <w:r w:rsidRPr="00C57C34">
        <w:rPr>
          <w:rFonts w:ascii="Times New Roman" w:hAnsi="Times New Roman" w:cs="Times New Roman"/>
          <w:color w:val="414141"/>
          <w:shd w:val="clear" w:color="auto" w:fill="FFFFFF"/>
          <w:lang w:val="ru-RU"/>
        </w:rPr>
        <w:t>Болалар</w:t>
      </w:r>
      <w:proofErr w:type="spellEnd"/>
      <w:r w:rsidRPr="00C57C34">
        <w:rPr>
          <w:rFonts w:ascii="Times New Roman" w:hAnsi="Times New Roman" w:cs="Times New Roman"/>
          <w:color w:val="414141"/>
          <w:shd w:val="clear" w:color="auto" w:fill="FFFFFF"/>
          <w:lang w:val="ru-RU"/>
        </w:rPr>
        <w:t xml:space="preserve"> </w:t>
      </w:r>
      <w:proofErr w:type="spellStart"/>
      <w:r w:rsidRPr="00C57C34">
        <w:rPr>
          <w:rFonts w:ascii="Times New Roman" w:hAnsi="Times New Roman" w:cs="Times New Roman"/>
          <w:color w:val="414141"/>
          <w:shd w:val="clear" w:color="auto" w:fill="FFFFFF"/>
          <w:lang w:val="ru-RU"/>
        </w:rPr>
        <w:t>миллий</w:t>
      </w:r>
      <w:proofErr w:type="spellEnd"/>
      <w:r w:rsidRPr="00C57C34">
        <w:rPr>
          <w:rFonts w:ascii="Times New Roman" w:hAnsi="Times New Roman" w:cs="Times New Roman"/>
          <w:color w:val="414141"/>
          <w:shd w:val="clear" w:color="auto" w:fill="FFFFFF"/>
          <w:lang w:val="ru-RU"/>
        </w:rPr>
        <w:t xml:space="preserve"> </w:t>
      </w:r>
      <w:proofErr w:type="spellStart"/>
      <w:r w:rsidRPr="00C57C34">
        <w:rPr>
          <w:rFonts w:ascii="Times New Roman" w:hAnsi="Times New Roman" w:cs="Times New Roman"/>
          <w:color w:val="414141"/>
          <w:shd w:val="clear" w:color="auto" w:fill="FFFFFF"/>
          <w:lang w:val="ru-RU"/>
        </w:rPr>
        <w:t>тиббиёт</w:t>
      </w:r>
      <w:proofErr w:type="spellEnd"/>
      <w:r w:rsidRPr="00C57C34">
        <w:rPr>
          <w:rFonts w:ascii="Times New Roman" w:hAnsi="Times New Roman" w:cs="Times New Roman"/>
          <w:color w:val="414141"/>
          <w:shd w:val="clear" w:color="auto" w:fill="FFFFFF"/>
          <w:lang w:val="ru-RU"/>
        </w:rPr>
        <w:t xml:space="preserve"> маркази</w:t>
      </w:r>
      <w:r w:rsidRPr="00C57C34">
        <w:rPr>
          <w:rFonts w:ascii="Times New Roman" w:hAnsi="Times New Roman" w:cs="Times New Roman"/>
          <w:color w:val="414141"/>
          <w:shd w:val="clear" w:color="auto" w:fill="FFFFFF"/>
          <w:vertAlign w:val="superscript"/>
          <w:lang w:val="ru-RU"/>
        </w:rPr>
        <w:t>1</w:t>
      </w:r>
      <w:r w:rsidRPr="00C57C34">
        <w:rPr>
          <w:rFonts w:ascii="Times New Roman" w:hAnsi="Times New Roman" w:cs="Times New Roman"/>
          <w:color w:val="414141"/>
          <w:shd w:val="clear" w:color="auto" w:fill="FFFFFF"/>
          <w:lang w:val="ru-RU"/>
        </w:rPr>
        <w:t xml:space="preserve">, </w:t>
      </w:r>
      <w:proofErr w:type="spellStart"/>
      <w:r w:rsidRPr="00C57C34">
        <w:rPr>
          <w:rFonts w:ascii="Times New Roman" w:hAnsi="Times New Roman" w:cs="Times New Roman"/>
          <w:color w:val="414141"/>
          <w:shd w:val="clear" w:color="auto" w:fill="FFFFFF"/>
          <w:lang w:val="ru-RU"/>
        </w:rPr>
        <w:t>Тошкент</w:t>
      </w:r>
      <w:proofErr w:type="spellEnd"/>
      <w:r w:rsidRPr="00C57C34">
        <w:rPr>
          <w:rFonts w:ascii="Times New Roman" w:hAnsi="Times New Roman" w:cs="Times New Roman"/>
          <w:color w:val="414141"/>
          <w:shd w:val="clear" w:color="auto" w:fill="FFFFFF"/>
          <w:lang w:val="ru-RU"/>
        </w:rPr>
        <w:t xml:space="preserve"> </w:t>
      </w:r>
      <w:proofErr w:type="spellStart"/>
      <w:r w:rsidRPr="00C57C34">
        <w:rPr>
          <w:rFonts w:ascii="Times New Roman" w:hAnsi="Times New Roman" w:cs="Times New Roman"/>
          <w:color w:val="414141"/>
          <w:shd w:val="clear" w:color="auto" w:fill="FFFFFF"/>
          <w:lang w:val="ru-RU"/>
        </w:rPr>
        <w:t>тиббиёт</w:t>
      </w:r>
      <w:proofErr w:type="spellEnd"/>
      <w:r w:rsidRPr="00C57C34">
        <w:rPr>
          <w:rFonts w:ascii="Times New Roman" w:hAnsi="Times New Roman" w:cs="Times New Roman"/>
          <w:color w:val="414141"/>
          <w:shd w:val="clear" w:color="auto" w:fill="FFFFFF"/>
          <w:lang w:val="ru-RU"/>
        </w:rPr>
        <w:t xml:space="preserve"> академияси</w:t>
      </w:r>
      <w:r w:rsidRPr="00C57C34">
        <w:rPr>
          <w:rFonts w:ascii="Times New Roman" w:hAnsi="Times New Roman" w:cs="Times New Roman"/>
          <w:color w:val="414141"/>
          <w:shd w:val="clear" w:color="auto" w:fill="FFFFFF"/>
          <w:vertAlign w:val="superscript"/>
          <w:lang w:val="ru-RU"/>
        </w:rPr>
        <w:t>2</w:t>
      </w:r>
    </w:p>
    <w:p w:rsidR="004F2C3E" w:rsidRPr="004B4FCC" w:rsidRDefault="004B4FCC" w:rsidP="004F2C3E">
      <w:pPr>
        <w:spacing w:after="0" w:line="360" w:lineRule="auto"/>
        <w:jc w:val="right"/>
        <w:rPr>
          <w:rFonts w:ascii="Times New Roman" w:hAnsi="Times New Roman" w:cs="Times New Roman"/>
          <w:color w:val="414141"/>
          <w:shd w:val="clear" w:color="auto" w:fill="FFFFFF"/>
          <w:vertAlign w:val="superscript"/>
          <w:lang w:val="ru-RU"/>
        </w:rPr>
      </w:pPr>
      <w:r>
        <w:rPr>
          <w:rFonts w:ascii="Times New Roman" w:hAnsi="Times New Roman" w:cs="Times New Roman"/>
          <w:color w:val="414141"/>
          <w:shd w:val="clear" w:color="auto" w:fill="FFFFFF"/>
          <w:vertAlign w:val="superscript"/>
          <w:lang w:val="en-US"/>
        </w:rPr>
        <w:fldChar w:fldCharType="begin"/>
      </w:r>
      <w:r>
        <w:rPr>
          <w:rFonts w:ascii="Times New Roman" w:hAnsi="Times New Roman" w:cs="Times New Roman"/>
          <w:color w:val="414141"/>
          <w:shd w:val="clear" w:color="auto" w:fill="FFFFFF"/>
          <w:vertAlign w:val="superscript"/>
          <w:lang w:val="en-US"/>
        </w:rPr>
        <w:instrText>HYPERLINK</w:instrText>
      </w:r>
      <w:r w:rsidRPr="004B4FCC">
        <w:rPr>
          <w:rFonts w:ascii="Times New Roman" w:hAnsi="Times New Roman" w:cs="Times New Roman"/>
          <w:color w:val="414141"/>
          <w:shd w:val="clear" w:color="auto" w:fill="FFFFFF"/>
          <w:vertAlign w:val="superscript"/>
          <w:lang w:val="ru-RU"/>
        </w:rPr>
        <w:instrText xml:space="preserve"> "</w:instrText>
      </w:r>
      <w:r>
        <w:rPr>
          <w:rFonts w:ascii="Times New Roman" w:hAnsi="Times New Roman" w:cs="Times New Roman"/>
          <w:color w:val="414141"/>
          <w:shd w:val="clear" w:color="auto" w:fill="FFFFFF"/>
          <w:vertAlign w:val="superscript"/>
          <w:lang w:val="en-US"/>
        </w:rPr>
        <w:instrText>mailto</w:instrText>
      </w:r>
      <w:r w:rsidRPr="004B4FCC">
        <w:rPr>
          <w:rFonts w:ascii="Times New Roman" w:hAnsi="Times New Roman" w:cs="Times New Roman"/>
          <w:color w:val="414141"/>
          <w:shd w:val="clear" w:color="auto" w:fill="FFFFFF"/>
          <w:vertAlign w:val="superscript"/>
          <w:lang w:val="ru-RU"/>
        </w:rPr>
        <w:instrText>:</w:instrText>
      </w:r>
      <w:r>
        <w:rPr>
          <w:rFonts w:ascii="Times New Roman" w:hAnsi="Times New Roman" w:cs="Times New Roman"/>
          <w:color w:val="414141"/>
          <w:shd w:val="clear" w:color="auto" w:fill="FFFFFF"/>
          <w:vertAlign w:val="superscript"/>
          <w:lang w:val="en-US"/>
        </w:rPr>
        <w:instrText>khusniddinov</w:instrText>
      </w:r>
      <w:r w:rsidRPr="004B4FCC">
        <w:rPr>
          <w:rFonts w:ascii="Times New Roman" w:hAnsi="Times New Roman" w:cs="Times New Roman"/>
          <w:color w:val="414141"/>
          <w:shd w:val="clear" w:color="auto" w:fill="FFFFFF"/>
          <w:vertAlign w:val="superscript"/>
          <w:lang w:val="ru-RU"/>
        </w:rPr>
        <w:instrText>@</w:instrText>
      </w:r>
      <w:r>
        <w:rPr>
          <w:rFonts w:ascii="Times New Roman" w:hAnsi="Times New Roman" w:cs="Times New Roman"/>
          <w:color w:val="414141"/>
          <w:shd w:val="clear" w:color="auto" w:fill="FFFFFF"/>
          <w:vertAlign w:val="superscript"/>
          <w:lang w:val="en-US"/>
        </w:rPr>
        <w:instrText>internet</w:instrText>
      </w:r>
      <w:r w:rsidRPr="004B4FCC">
        <w:rPr>
          <w:rFonts w:ascii="Times New Roman" w:hAnsi="Times New Roman" w:cs="Times New Roman"/>
          <w:color w:val="414141"/>
          <w:shd w:val="clear" w:color="auto" w:fill="FFFFFF"/>
          <w:vertAlign w:val="superscript"/>
          <w:lang w:val="ru-RU"/>
        </w:rPr>
        <w:instrText>.</w:instrText>
      </w:r>
      <w:r>
        <w:rPr>
          <w:rFonts w:ascii="Times New Roman" w:hAnsi="Times New Roman" w:cs="Times New Roman"/>
          <w:color w:val="414141"/>
          <w:shd w:val="clear" w:color="auto" w:fill="FFFFFF"/>
          <w:vertAlign w:val="superscript"/>
          <w:lang w:val="en-US"/>
        </w:rPr>
        <w:instrText>ru</w:instrText>
      </w:r>
      <w:r w:rsidRPr="004B4FCC">
        <w:rPr>
          <w:rFonts w:ascii="Times New Roman" w:hAnsi="Times New Roman" w:cs="Times New Roman"/>
          <w:color w:val="414141"/>
          <w:shd w:val="clear" w:color="auto" w:fill="FFFFFF"/>
          <w:vertAlign w:val="superscript"/>
          <w:lang w:val="ru-RU"/>
        </w:rPr>
        <w:instrText>"</w:instrText>
      </w:r>
      <w:r>
        <w:rPr>
          <w:rFonts w:ascii="Times New Roman" w:hAnsi="Times New Roman" w:cs="Times New Roman"/>
          <w:color w:val="414141"/>
          <w:shd w:val="clear" w:color="auto" w:fill="FFFFFF"/>
          <w:vertAlign w:val="superscript"/>
          <w:lang w:val="en-US"/>
        </w:rPr>
        <w:fldChar w:fldCharType="separate"/>
      </w:r>
      <w:r w:rsidRPr="00DD3CD9">
        <w:rPr>
          <w:rStyle w:val="Hyperlink"/>
          <w:rFonts w:ascii="Times New Roman" w:hAnsi="Times New Roman" w:cs="Times New Roman"/>
          <w:shd w:val="clear" w:color="auto" w:fill="FFFFFF"/>
          <w:vertAlign w:val="superscript"/>
          <w:lang w:val="en-US"/>
        </w:rPr>
        <w:t>khusniddinov</w:t>
      </w:r>
      <w:r w:rsidRPr="004B4FCC">
        <w:rPr>
          <w:rStyle w:val="Hyperlink"/>
          <w:rFonts w:ascii="Times New Roman" w:hAnsi="Times New Roman" w:cs="Times New Roman"/>
          <w:shd w:val="clear" w:color="auto" w:fill="FFFFFF"/>
          <w:vertAlign w:val="superscript"/>
          <w:lang w:val="ru-RU"/>
        </w:rPr>
        <w:t>@</w:t>
      </w:r>
      <w:r w:rsidRPr="00DD3CD9">
        <w:rPr>
          <w:rStyle w:val="Hyperlink"/>
          <w:rFonts w:ascii="Times New Roman" w:hAnsi="Times New Roman" w:cs="Times New Roman"/>
          <w:shd w:val="clear" w:color="auto" w:fill="FFFFFF"/>
          <w:vertAlign w:val="superscript"/>
          <w:lang w:val="en-US"/>
        </w:rPr>
        <w:t>internet</w:t>
      </w:r>
      <w:r w:rsidRPr="004B4FCC">
        <w:rPr>
          <w:rStyle w:val="Hyperlink"/>
          <w:rFonts w:ascii="Times New Roman" w:hAnsi="Times New Roman" w:cs="Times New Roman"/>
          <w:shd w:val="clear" w:color="auto" w:fill="FFFFFF"/>
          <w:vertAlign w:val="superscript"/>
          <w:lang w:val="ru-RU"/>
        </w:rPr>
        <w:t>.</w:t>
      </w:r>
      <w:r w:rsidRPr="00DD3CD9">
        <w:rPr>
          <w:rStyle w:val="Hyperlink"/>
          <w:rFonts w:ascii="Times New Roman" w:hAnsi="Times New Roman" w:cs="Times New Roman"/>
          <w:shd w:val="clear" w:color="auto" w:fill="FFFFFF"/>
          <w:vertAlign w:val="superscript"/>
          <w:lang w:val="en-US"/>
        </w:rPr>
        <w:t>ru</w:t>
      </w:r>
      <w:r>
        <w:rPr>
          <w:rFonts w:ascii="Times New Roman" w:hAnsi="Times New Roman" w:cs="Times New Roman"/>
          <w:color w:val="414141"/>
          <w:shd w:val="clear" w:color="auto" w:fill="FFFFFF"/>
          <w:vertAlign w:val="superscript"/>
          <w:lang w:val="en-US"/>
        </w:rPr>
        <w:fldChar w:fldCharType="end"/>
      </w:r>
    </w:p>
    <w:p w:rsidR="004F2C3E" w:rsidRPr="00C57C34" w:rsidRDefault="004F2C3E" w:rsidP="004F2C3E">
      <w:pPr>
        <w:spacing w:line="360" w:lineRule="auto"/>
        <w:jc w:val="center"/>
        <w:rPr>
          <w:rFonts w:ascii="Times New Roman" w:hAnsi="Times New Roman" w:cs="Times New Roman"/>
          <w:b/>
          <w:bCs/>
          <w:color w:val="414141"/>
          <w:sz w:val="28"/>
          <w:szCs w:val="28"/>
          <w:shd w:val="clear" w:color="auto" w:fill="FFFFFF"/>
          <w:lang w:val="ru-RU"/>
        </w:rPr>
      </w:pPr>
      <w:proofErr w:type="spellStart"/>
      <w:r w:rsidRPr="00C57C34">
        <w:rPr>
          <w:rFonts w:ascii="Times New Roman" w:hAnsi="Times New Roman" w:cs="Times New Roman"/>
          <w:b/>
          <w:bCs/>
          <w:color w:val="414141"/>
          <w:sz w:val="28"/>
          <w:szCs w:val="28"/>
          <w:shd w:val="clear" w:color="auto" w:fill="FFFFFF"/>
          <w:lang w:val="ru-RU"/>
        </w:rPr>
        <w:t>Болаларда</w:t>
      </w:r>
      <w:proofErr w:type="spellEnd"/>
      <w:r w:rsidRPr="00C57C34">
        <w:rPr>
          <w:rFonts w:ascii="Times New Roman" w:hAnsi="Times New Roman" w:cs="Times New Roman"/>
          <w:b/>
          <w:bCs/>
          <w:color w:val="414141"/>
          <w:sz w:val="28"/>
          <w:szCs w:val="28"/>
          <w:shd w:val="clear" w:color="auto" w:fill="FFFFFF"/>
          <w:lang w:val="ru-RU"/>
        </w:rPr>
        <w:t xml:space="preserve"> дори </w:t>
      </w:r>
      <w:proofErr w:type="spellStart"/>
      <w:r w:rsidRPr="00C57C34">
        <w:rPr>
          <w:rFonts w:ascii="Times New Roman" w:hAnsi="Times New Roman" w:cs="Times New Roman"/>
          <w:b/>
          <w:bCs/>
          <w:color w:val="414141"/>
          <w:sz w:val="28"/>
          <w:szCs w:val="28"/>
          <w:shd w:val="clear" w:color="auto" w:fill="FFFFFF"/>
          <w:lang w:val="ru-RU"/>
        </w:rPr>
        <w:t>воситаларига</w:t>
      </w:r>
      <w:proofErr w:type="spellEnd"/>
      <w:r w:rsidRPr="00C57C34">
        <w:rPr>
          <w:rFonts w:ascii="Times New Roman" w:hAnsi="Times New Roman" w:cs="Times New Roman"/>
          <w:b/>
          <w:bCs/>
          <w:color w:val="414141"/>
          <w:sz w:val="28"/>
          <w:szCs w:val="28"/>
          <w:shd w:val="clear" w:color="auto" w:fill="FFFFFF"/>
          <w:lang w:val="ru-RU"/>
        </w:rPr>
        <w:t xml:space="preserve"> </w:t>
      </w:r>
      <w:proofErr w:type="spellStart"/>
      <w:r w:rsidRPr="00C57C34">
        <w:rPr>
          <w:rFonts w:ascii="Times New Roman" w:hAnsi="Times New Roman" w:cs="Times New Roman"/>
          <w:b/>
          <w:bCs/>
          <w:color w:val="414141"/>
          <w:sz w:val="28"/>
          <w:szCs w:val="28"/>
          <w:shd w:val="clear" w:color="auto" w:fill="FFFFFF"/>
          <w:lang w:val="ru-RU"/>
        </w:rPr>
        <w:t>чидамли</w:t>
      </w:r>
      <w:proofErr w:type="spellEnd"/>
      <w:r w:rsidRPr="00C57C34">
        <w:rPr>
          <w:rFonts w:ascii="Times New Roman" w:hAnsi="Times New Roman" w:cs="Times New Roman"/>
          <w:b/>
          <w:bCs/>
          <w:color w:val="414141"/>
          <w:sz w:val="28"/>
          <w:szCs w:val="28"/>
          <w:shd w:val="clear" w:color="auto" w:fill="FFFFFF"/>
          <w:lang w:val="ru-RU"/>
        </w:rPr>
        <w:t xml:space="preserve"> </w:t>
      </w:r>
      <w:proofErr w:type="spellStart"/>
      <w:r w:rsidRPr="00C57C34">
        <w:rPr>
          <w:rFonts w:ascii="Times New Roman" w:hAnsi="Times New Roman" w:cs="Times New Roman"/>
          <w:b/>
          <w:bCs/>
          <w:color w:val="414141"/>
          <w:sz w:val="28"/>
          <w:szCs w:val="28"/>
          <w:shd w:val="clear" w:color="auto" w:fill="FFFFFF"/>
          <w:lang w:val="ru-RU"/>
        </w:rPr>
        <w:t>эпилепсияни</w:t>
      </w:r>
      <w:proofErr w:type="spellEnd"/>
      <w:r w:rsidRPr="00C57C34">
        <w:rPr>
          <w:rFonts w:ascii="Times New Roman" w:hAnsi="Times New Roman" w:cs="Times New Roman"/>
          <w:b/>
          <w:bCs/>
          <w:color w:val="414141"/>
          <w:sz w:val="28"/>
          <w:szCs w:val="28"/>
          <w:shd w:val="clear" w:color="auto" w:fill="FFFFFF"/>
          <w:lang w:val="ru-RU"/>
        </w:rPr>
        <w:t xml:space="preserve"> </w:t>
      </w:r>
      <w:proofErr w:type="spellStart"/>
      <w:r w:rsidRPr="00C57C34">
        <w:rPr>
          <w:rFonts w:ascii="Times New Roman" w:hAnsi="Times New Roman" w:cs="Times New Roman"/>
          <w:b/>
          <w:bCs/>
          <w:color w:val="414141"/>
          <w:sz w:val="28"/>
          <w:szCs w:val="28"/>
          <w:shd w:val="clear" w:color="auto" w:fill="FFFFFF"/>
          <w:lang w:val="ru-RU"/>
        </w:rPr>
        <w:t>жарроҳлик</w:t>
      </w:r>
      <w:proofErr w:type="spellEnd"/>
      <w:r w:rsidRPr="00C57C34">
        <w:rPr>
          <w:rFonts w:ascii="Times New Roman" w:hAnsi="Times New Roman" w:cs="Times New Roman"/>
          <w:b/>
          <w:bCs/>
          <w:color w:val="414141"/>
          <w:sz w:val="28"/>
          <w:szCs w:val="28"/>
          <w:shd w:val="clear" w:color="auto" w:fill="FFFFFF"/>
          <w:lang w:val="ru-RU"/>
        </w:rPr>
        <w:t xml:space="preserve"> </w:t>
      </w:r>
      <w:proofErr w:type="spellStart"/>
      <w:r w:rsidRPr="00C57C34">
        <w:rPr>
          <w:rFonts w:ascii="Times New Roman" w:hAnsi="Times New Roman" w:cs="Times New Roman"/>
          <w:b/>
          <w:bCs/>
          <w:color w:val="414141"/>
          <w:sz w:val="28"/>
          <w:szCs w:val="28"/>
          <w:shd w:val="clear" w:color="auto" w:fill="FFFFFF"/>
          <w:lang w:val="ru-RU"/>
        </w:rPr>
        <w:t>йўли</w:t>
      </w:r>
      <w:proofErr w:type="spellEnd"/>
      <w:r w:rsidRPr="00C57C34">
        <w:rPr>
          <w:rFonts w:ascii="Times New Roman" w:hAnsi="Times New Roman" w:cs="Times New Roman"/>
          <w:b/>
          <w:bCs/>
          <w:color w:val="414141"/>
          <w:sz w:val="28"/>
          <w:szCs w:val="28"/>
          <w:shd w:val="clear" w:color="auto" w:fill="FFFFFF"/>
          <w:lang w:val="ru-RU"/>
        </w:rPr>
        <w:t xml:space="preserve"> билан </w:t>
      </w:r>
      <w:proofErr w:type="spellStart"/>
      <w:r w:rsidRPr="00C57C34">
        <w:rPr>
          <w:rFonts w:ascii="Times New Roman" w:hAnsi="Times New Roman" w:cs="Times New Roman"/>
          <w:b/>
          <w:bCs/>
          <w:color w:val="414141"/>
          <w:sz w:val="28"/>
          <w:szCs w:val="28"/>
          <w:shd w:val="clear" w:color="auto" w:fill="FFFFFF"/>
          <w:lang w:val="ru-RU"/>
        </w:rPr>
        <w:t>даволаш</w:t>
      </w:r>
      <w:proofErr w:type="spellEnd"/>
      <w:r>
        <w:rPr>
          <w:rFonts w:ascii="Times New Roman" w:hAnsi="Times New Roman" w:cs="Times New Roman"/>
          <w:b/>
          <w:bCs/>
          <w:color w:val="414141"/>
          <w:sz w:val="28"/>
          <w:szCs w:val="28"/>
          <w:shd w:val="clear" w:color="auto" w:fill="FFFFFF"/>
          <w:lang w:val="ru-RU"/>
        </w:rPr>
        <w:t>.</w:t>
      </w:r>
    </w:p>
    <w:p w:rsidR="004F2C3E" w:rsidRPr="00C57C34" w:rsidRDefault="004F2C3E" w:rsidP="004F2C3E">
      <w:pPr>
        <w:spacing w:line="360" w:lineRule="auto"/>
        <w:jc w:val="right"/>
        <w:rPr>
          <w:rFonts w:ascii="Times New Roman" w:hAnsi="Times New Roman" w:cs="Times New Roman"/>
          <w:b/>
          <w:bCs/>
          <w:color w:val="414141"/>
          <w:sz w:val="28"/>
          <w:szCs w:val="28"/>
          <w:shd w:val="clear" w:color="auto" w:fill="FFFFFF"/>
          <w:lang w:val="ru-RU"/>
        </w:rPr>
      </w:pPr>
      <w:r w:rsidRPr="00C57C34">
        <w:rPr>
          <w:rFonts w:ascii="Times New Roman" w:hAnsi="Times New Roman" w:cs="Times New Roman"/>
          <w:b/>
          <w:bCs/>
          <w:color w:val="414141"/>
          <w:sz w:val="28"/>
          <w:szCs w:val="28"/>
          <w:shd w:val="clear" w:color="auto" w:fill="FFFFFF"/>
          <w:lang w:val="ru-RU"/>
        </w:rPr>
        <w:t>Аннотация</w:t>
      </w:r>
    </w:p>
    <w:p w:rsidR="004F2C3E" w:rsidRPr="00C57C34" w:rsidRDefault="004F2C3E" w:rsidP="004F2C3E">
      <w:pPr>
        <w:spacing w:after="0" w:line="360" w:lineRule="auto"/>
        <w:jc w:val="both"/>
        <w:rPr>
          <w:rFonts w:ascii="Times New Roman" w:hAnsi="Times New Roman" w:cs="Times New Roman"/>
          <w:color w:val="414141"/>
          <w:shd w:val="clear" w:color="auto" w:fill="FFFFFF"/>
        </w:rPr>
      </w:pPr>
      <w:r w:rsidRPr="00C57C34">
        <w:rPr>
          <w:rFonts w:ascii="Times New Roman" w:hAnsi="Times New Roman" w:cs="Times New Roman"/>
          <w:color w:val="414141"/>
          <w:shd w:val="clear" w:color="auto" w:fill="FFFFFF"/>
        </w:rPr>
        <w:t>Дори воситаларига чидамли эпилепсия (ДВЧ) барча эпилепсия билан оғриган беморларнинг тахминан 25%</w:t>
      </w:r>
      <w:r w:rsidRPr="00C57C34">
        <w:rPr>
          <w:rFonts w:ascii="Times New Roman" w:hAnsi="Times New Roman" w:cs="Times New Roman"/>
          <w:color w:val="414141"/>
          <w:shd w:val="clear" w:color="auto" w:fill="FFFFFF"/>
          <w:lang w:val="ru-RU"/>
        </w:rPr>
        <w:t xml:space="preserve"> </w:t>
      </w:r>
      <w:r w:rsidRPr="00C57C34">
        <w:rPr>
          <w:rFonts w:ascii="Times New Roman" w:hAnsi="Times New Roman" w:cs="Times New Roman"/>
          <w:color w:val="414141"/>
          <w:shd w:val="clear" w:color="auto" w:fill="FFFFFF"/>
        </w:rPr>
        <w:t>учрайди ва бу беморларнинг ҳаёт сифати тутқаноқлар туфайли пасаяди. Эрта ташхис қўйиш муҳим аҳамиятга эга, чунки бу даволашнинг муқобил усулларини аниқлаш ва бемор жарроҳлик аралашуви учун номзод бўлиши мумкинлигини баҳолаш имконини беради. Нейрохирургик даволаш усуллари дори воситаларига чидамли эпилепсияси бўлган болалар ва ўсмирларда тутқаноқ хуружларини камайтириши мумкин, бироқ буни тасдиқлаш учун қўшимча рандомизатсияланган тадқиқотлар зарур. Жами 47 нафар бемор: 10 нафари фақат антиэпилептик дори воситалари (АЭДВ) билан, 3 нафари АЭДВ + вагус нерви стимулятсияси (ВНС) билан ва 34 нафари АЭДВ + мия эпилепсия жарроҳлиги билан даволанган. Ушбу ягона марказда ўтказилган тадқиқотда дори воситаларига чидамли эпилепсияга чалинган ва турли хил эпилепсия жарроҳлигидан ўтган болалар ҳамда ўсмирлар фақат дори воситалари билан даволанганларга нисбатан тутилишсиз ҳаёт кечириш даражаси сезиларли даражада юқори бўлган ва уларнинг хулқ-атвори ҳамда ҳаёт сифати кўрсаткичлари яхшироқ бўлган. Жарроҳлик аралашуви натижасида мия резексияси қилинган соҳа билан боғлиқ кутилган неврологик нуқсонлар кузатилган.</w:t>
      </w:r>
    </w:p>
    <w:p w:rsidR="004F2C3E" w:rsidRPr="004F2C3E" w:rsidRDefault="004F2C3E" w:rsidP="004F2C3E">
      <w:pPr>
        <w:spacing w:after="0" w:line="360" w:lineRule="auto"/>
        <w:jc w:val="both"/>
        <w:rPr>
          <w:rFonts w:ascii="Times New Roman" w:hAnsi="Times New Roman" w:cs="Times New Roman"/>
          <w:color w:val="414141"/>
          <w:shd w:val="clear" w:color="auto" w:fill="FFFFFF"/>
        </w:rPr>
      </w:pPr>
      <w:r w:rsidRPr="00C57C34">
        <w:rPr>
          <w:rFonts w:ascii="Times New Roman" w:hAnsi="Times New Roman" w:cs="Times New Roman"/>
          <w:b/>
          <w:bCs/>
          <w:color w:val="414141"/>
          <w:shd w:val="clear" w:color="auto" w:fill="FFFFFF"/>
        </w:rPr>
        <w:t>Калит сўзлар:</w:t>
      </w:r>
      <w:r w:rsidRPr="00C57C34">
        <w:rPr>
          <w:rFonts w:ascii="Times New Roman" w:hAnsi="Times New Roman" w:cs="Times New Roman"/>
          <w:color w:val="414141"/>
          <w:shd w:val="clear" w:color="auto" w:fill="FFFFFF"/>
        </w:rPr>
        <w:t xml:space="preserve"> дори воситаларига чидамли эпилепсия, вагус нерви стимулятсияси, педиатрик нейрохирургия, эпилепсия жарроҳлиги.</w:t>
      </w:r>
    </w:p>
    <w:p w:rsidR="004F2C3E" w:rsidRPr="004F2C3E" w:rsidRDefault="004F2C3E" w:rsidP="004F2C3E">
      <w:pPr>
        <w:pBdr>
          <w:bottom w:val="single" w:sz="12" w:space="1" w:color="auto"/>
        </w:pBdr>
        <w:autoSpaceDE w:val="0"/>
        <w:autoSpaceDN w:val="0"/>
        <w:adjustRightInd w:val="0"/>
        <w:spacing w:after="0" w:line="240" w:lineRule="auto"/>
        <w:jc w:val="both"/>
        <w:rPr>
          <w:rFonts w:ascii="Times New Roman" w:hAnsi="Times New Roman" w:cs="Times New Roman"/>
        </w:rPr>
      </w:pPr>
    </w:p>
    <w:p w:rsidR="004F2C3E" w:rsidRPr="004F2C3E" w:rsidRDefault="004F2C3E" w:rsidP="004F2C3E">
      <w:pPr>
        <w:spacing w:line="360" w:lineRule="auto"/>
        <w:rPr>
          <w:rFonts w:ascii="Times New Roman" w:hAnsi="Times New Roman" w:cs="Times New Roman"/>
          <w:b/>
          <w:bCs/>
          <w:color w:val="414141"/>
          <w:sz w:val="28"/>
          <w:szCs w:val="28"/>
          <w:shd w:val="clear" w:color="auto" w:fill="FFFFFF"/>
          <w:lang w:val="ru-RU"/>
        </w:rPr>
      </w:pPr>
    </w:p>
    <w:p w:rsidR="004F2C3E" w:rsidRPr="00C57C34" w:rsidRDefault="004F2C3E" w:rsidP="004F2C3E">
      <w:pPr>
        <w:spacing w:after="0" w:line="360" w:lineRule="auto"/>
        <w:jc w:val="right"/>
        <w:rPr>
          <w:rFonts w:ascii="Times New Roman" w:hAnsi="Times New Roman" w:cs="Times New Roman"/>
          <w:b/>
          <w:bCs/>
          <w:color w:val="414141"/>
          <w:shd w:val="clear" w:color="auto" w:fill="FFFFFF"/>
          <w:lang w:val="ru-RU"/>
        </w:rPr>
      </w:pPr>
      <w:r w:rsidRPr="00C57C34">
        <w:rPr>
          <w:rFonts w:ascii="Times New Roman" w:hAnsi="Times New Roman" w:cs="Times New Roman"/>
          <w:b/>
          <w:bCs/>
          <w:color w:val="414141"/>
          <w:shd w:val="clear" w:color="auto" w:fill="FFFFFF"/>
        </w:rPr>
        <w:t>Хусниддинов Шeрзод Рихсиддин угли¹, Шамсиева Умида Абдувахитовна.²</w:t>
      </w:r>
    </w:p>
    <w:p w:rsidR="004F2C3E" w:rsidRPr="00C57C34" w:rsidRDefault="004F2C3E" w:rsidP="004F2C3E">
      <w:pPr>
        <w:spacing w:after="0" w:line="360" w:lineRule="auto"/>
        <w:jc w:val="right"/>
        <w:rPr>
          <w:rFonts w:ascii="Times New Roman" w:hAnsi="Times New Roman" w:cs="Times New Roman"/>
          <w:color w:val="414141"/>
          <w:shd w:val="clear" w:color="auto" w:fill="FFFFFF"/>
          <w:vertAlign w:val="superscript"/>
          <w:lang w:val="ru-RU"/>
        </w:rPr>
      </w:pPr>
      <w:r w:rsidRPr="00C57C34">
        <w:rPr>
          <w:rFonts w:ascii="Times New Roman" w:hAnsi="Times New Roman" w:cs="Times New Roman"/>
          <w:color w:val="414141"/>
          <w:shd w:val="clear" w:color="auto" w:fill="FFFFFF"/>
        </w:rPr>
        <w:t>Национальный детский медицинский</w:t>
      </w:r>
      <w:r w:rsidRPr="00C57C34">
        <w:rPr>
          <w:rFonts w:ascii="Times New Roman" w:hAnsi="Times New Roman" w:cs="Times New Roman"/>
          <w:color w:val="414141"/>
          <w:shd w:val="clear" w:color="auto" w:fill="FFFFFF"/>
          <w:vertAlign w:val="superscript"/>
          <w:lang w:val="ru-RU"/>
        </w:rPr>
        <w:t>1</w:t>
      </w:r>
      <w:r w:rsidRPr="00C57C34">
        <w:rPr>
          <w:rFonts w:ascii="Times New Roman" w:hAnsi="Times New Roman" w:cs="Times New Roman"/>
          <w:color w:val="414141"/>
          <w:shd w:val="clear" w:color="auto" w:fill="FFFFFF"/>
          <w:lang w:val="ru-RU"/>
        </w:rPr>
        <w:t xml:space="preserve">, </w:t>
      </w:r>
      <w:r w:rsidRPr="00C57C34">
        <w:rPr>
          <w:rFonts w:ascii="Times New Roman" w:hAnsi="Times New Roman" w:cs="Times New Roman"/>
          <w:color w:val="414141"/>
          <w:shd w:val="clear" w:color="auto" w:fill="FFFFFF"/>
        </w:rPr>
        <w:t>Ташкентская медицинская академия</w:t>
      </w:r>
      <w:r w:rsidRPr="00C57C34">
        <w:rPr>
          <w:rFonts w:ascii="Times New Roman" w:hAnsi="Times New Roman" w:cs="Times New Roman"/>
          <w:color w:val="414141"/>
          <w:shd w:val="clear" w:color="auto" w:fill="FFFFFF"/>
          <w:vertAlign w:val="superscript"/>
          <w:lang w:val="ru-RU"/>
        </w:rPr>
        <w:t>2</w:t>
      </w:r>
    </w:p>
    <w:p w:rsidR="004F2C3E" w:rsidRPr="00C57C34" w:rsidRDefault="004F2C3E" w:rsidP="004F2C3E">
      <w:pPr>
        <w:spacing w:line="360" w:lineRule="auto"/>
        <w:jc w:val="center"/>
        <w:rPr>
          <w:rFonts w:ascii="Times New Roman" w:hAnsi="Times New Roman" w:cs="Times New Roman"/>
          <w:color w:val="414141"/>
          <w:sz w:val="28"/>
          <w:szCs w:val="28"/>
          <w:shd w:val="clear" w:color="auto" w:fill="FFFFFF"/>
          <w:lang w:val="ru-RU"/>
        </w:rPr>
      </w:pPr>
    </w:p>
    <w:p w:rsidR="004F2C3E" w:rsidRPr="00C57C34" w:rsidRDefault="004F2C3E" w:rsidP="004F2C3E">
      <w:pPr>
        <w:spacing w:line="360" w:lineRule="auto"/>
        <w:jc w:val="center"/>
        <w:rPr>
          <w:rFonts w:ascii="Times New Roman" w:hAnsi="Times New Roman" w:cs="Times New Roman"/>
          <w:b/>
          <w:bCs/>
          <w:color w:val="414141"/>
          <w:sz w:val="28"/>
          <w:szCs w:val="28"/>
          <w:shd w:val="clear" w:color="auto" w:fill="FFFFFF"/>
        </w:rPr>
      </w:pPr>
      <w:r w:rsidRPr="00C57C34">
        <w:rPr>
          <w:rFonts w:ascii="Times New Roman" w:hAnsi="Times New Roman" w:cs="Times New Roman"/>
          <w:b/>
          <w:bCs/>
          <w:color w:val="414141"/>
          <w:sz w:val="28"/>
          <w:szCs w:val="28"/>
          <w:shd w:val="clear" w:color="auto" w:fill="FFFFFF"/>
        </w:rPr>
        <w:t xml:space="preserve">Хирургическое лечение </w:t>
      </w:r>
      <w:proofErr w:type="spellStart"/>
      <w:r w:rsidRPr="00C57C34">
        <w:rPr>
          <w:rFonts w:ascii="Times New Roman" w:hAnsi="Times New Roman" w:cs="Times New Roman"/>
          <w:b/>
          <w:bCs/>
          <w:color w:val="414141"/>
          <w:sz w:val="28"/>
          <w:szCs w:val="28"/>
          <w:shd w:val="clear" w:color="auto" w:fill="FFFFFF"/>
          <w:lang w:val="ru-RU"/>
        </w:rPr>
        <w:t>фармакорезистентной</w:t>
      </w:r>
      <w:proofErr w:type="spellEnd"/>
      <w:r w:rsidRPr="00C57C34">
        <w:rPr>
          <w:rFonts w:ascii="Times New Roman" w:hAnsi="Times New Roman" w:cs="Times New Roman"/>
          <w:b/>
          <w:bCs/>
          <w:color w:val="414141"/>
          <w:sz w:val="28"/>
          <w:szCs w:val="28"/>
          <w:shd w:val="clear" w:color="auto" w:fill="FFFFFF"/>
        </w:rPr>
        <w:t xml:space="preserve"> эпилепсии у детей.</w:t>
      </w:r>
    </w:p>
    <w:p w:rsidR="004F2C3E" w:rsidRPr="00C57C34" w:rsidRDefault="004F2C3E" w:rsidP="004F2C3E">
      <w:pPr>
        <w:spacing w:line="360" w:lineRule="auto"/>
        <w:jc w:val="right"/>
        <w:rPr>
          <w:rFonts w:ascii="Times New Roman" w:hAnsi="Times New Roman" w:cs="Times New Roman"/>
          <w:b/>
          <w:bCs/>
          <w:color w:val="414141"/>
          <w:sz w:val="28"/>
          <w:szCs w:val="28"/>
          <w:shd w:val="clear" w:color="auto" w:fill="FFFFFF"/>
          <w:lang w:val="ru-RU"/>
        </w:rPr>
      </w:pPr>
      <w:r w:rsidRPr="00C57C34">
        <w:rPr>
          <w:rFonts w:ascii="Times New Roman" w:hAnsi="Times New Roman" w:cs="Times New Roman"/>
          <w:b/>
          <w:bCs/>
          <w:color w:val="414141"/>
          <w:sz w:val="28"/>
          <w:szCs w:val="28"/>
          <w:shd w:val="clear" w:color="auto" w:fill="FFFFFF"/>
          <w:lang w:val="ru-RU"/>
        </w:rPr>
        <w:lastRenderedPageBreak/>
        <w:t>АННОТАЦИЯ</w:t>
      </w:r>
    </w:p>
    <w:p w:rsidR="004F2C3E" w:rsidRPr="00C57C34" w:rsidRDefault="004F2C3E" w:rsidP="004F2C3E">
      <w:pPr>
        <w:spacing w:after="0" w:line="360" w:lineRule="auto"/>
        <w:jc w:val="both"/>
        <w:rPr>
          <w:rFonts w:ascii="Times New Roman" w:hAnsi="Times New Roman" w:cs="Times New Roman"/>
          <w:color w:val="414141"/>
          <w:shd w:val="clear" w:color="auto" w:fill="FFFFFF"/>
        </w:rPr>
      </w:pPr>
      <w:r w:rsidRPr="00C57C34">
        <w:rPr>
          <w:rFonts w:ascii="Times New Roman" w:hAnsi="Times New Roman" w:cs="Times New Roman"/>
          <w:color w:val="414141"/>
          <w:shd w:val="clear" w:color="auto" w:fill="FFFFFF"/>
          <w:lang w:val="ru-RU"/>
        </w:rPr>
        <w:t>Ф</w:t>
      </w:r>
      <w:r w:rsidRPr="00C57C34">
        <w:rPr>
          <w:rFonts w:ascii="Times New Roman" w:hAnsi="Times New Roman" w:cs="Times New Roman"/>
          <w:color w:val="414141"/>
          <w:shd w:val="clear" w:color="auto" w:fill="FFFFFF"/>
        </w:rPr>
        <w:t>армакорезистентн</w:t>
      </w:r>
      <w:proofErr w:type="spellStart"/>
      <w:r w:rsidRPr="00C57C34">
        <w:rPr>
          <w:rFonts w:ascii="Times New Roman" w:hAnsi="Times New Roman" w:cs="Times New Roman"/>
          <w:color w:val="414141"/>
          <w:shd w:val="clear" w:color="auto" w:fill="FFFFFF"/>
          <w:lang w:val="ru-RU"/>
        </w:rPr>
        <w:t>ая</w:t>
      </w:r>
      <w:proofErr w:type="spellEnd"/>
      <w:r w:rsidRPr="00C57C34">
        <w:rPr>
          <w:rFonts w:ascii="Times New Roman" w:hAnsi="Times New Roman" w:cs="Times New Roman"/>
          <w:color w:val="414141"/>
          <w:shd w:val="clear" w:color="auto" w:fill="FFFFFF"/>
        </w:rPr>
        <w:t xml:space="preserve"> эпилепсия (</w:t>
      </w:r>
      <w:r w:rsidRPr="00C57C34">
        <w:rPr>
          <w:rFonts w:ascii="Times New Roman" w:hAnsi="Times New Roman" w:cs="Times New Roman"/>
          <w:color w:val="414141"/>
          <w:shd w:val="clear" w:color="auto" w:fill="FFFFFF"/>
          <w:lang w:val="ru-RU"/>
        </w:rPr>
        <w:t>Ф</w:t>
      </w:r>
      <w:r w:rsidRPr="00C57C34">
        <w:rPr>
          <w:rFonts w:ascii="Times New Roman" w:hAnsi="Times New Roman" w:cs="Times New Roman"/>
          <w:color w:val="414141"/>
          <w:shd w:val="clear" w:color="auto" w:fill="FFFFFF"/>
        </w:rPr>
        <w:t>РЭ) наблюдается у 25% всех пациентов с эпилепсией, и качество жизни этих больных снижается из-за повторяющихся приступов. Ранняя диагностика имеет решающее значение для определения возможных альтернатив лечения и оценки показаний к хирургическому вмешательству. Нейрохирургическое лечение может способствовать уменьшению частоты приступов у детей и подростков с лекарственно-резистентной эпилепсией, однако необходимы дополнительные данные, основанные на рандомизированных исследованиях.</w:t>
      </w:r>
      <w:r w:rsidRPr="00C57C34">
        <w:rPr>
          <w:rFonts w:ascii="Times New Roman" w:hAnsi="Times New Roman" w:cs="Times New Roman"/>
          <w:color w:val="414141"/>
          <w:shd w:val="clear" w:color="auto" w:fill="FFFFFF"/>
          <w:lang w:val="ru-RU"/>
        </w:rPr>
        <w:t xml:space="preserve"> </w:t>
      </w:r>
      <w:r w:rsidRPr="00C57C34">
        <w:rPr>
          <w:rFonts w:ascii="Times New Roman" w:hAnsi="Times New Roman" w:cs="Times New Roman"/>
          <w:color w:val="414141"/>
          <w:shd w:val="clear" w:color="auto" w:fill="FFFFFF"/>
        </w:rPr>
        <w:t>Всего было выявлено 47 пациентов: 10 получали только противосудорожные препараты (</w:t>
      </w:r>
      <w:r w:rsidRPr="00C57C34">
        <w:rPr>
          <w:rFonts w:ascii="Times New Roman" w:hAnsi="Times New Roman" w:cs="Times New Roman"/>
          <w:color w:val="414141"/>
          <w:shd w:val="clear" w:color="auto" w:fill="FFFFFF"/>
          <w:lang w:val="ru-RU"/>
        </w:rPr>
        <w:t>ПСП</w:t>
      </w:r>
      <w:r w:rsidRPr="00C57C34">
        <w:rPr>
          <w:rFonts w:ascii="Times New Roman" w:hAnsi="Times New Roman" w:cs="Times New Roman"/>
          <w:color w:val="414141"/>
          <w:shd w:val="clear" w:color="auto" w:fill="FFFFFF"/>
        </w:rPr>
        <w:t xml:space="preserve">), 3 — </w:t>
      </w:r>
      <w:r w:rsidRPr="00C57C34">
        <w:rPr>
          <w:rFonts w:ascii="Times New Roman" w:hAnsi="Times New Roman" w:cs="Times New Roman"/>
          <w:color w:val="414141"/>
          <w:shd w:val="clear" w:color="auto" w:fill="FFFFFF"/>
          <w:lang w:val="ru-RU"/>
        </w:rPr>
        <w:t>ПСП</w:t>
      </w:r>
      <w:r w:rsidRPr="00C57C34">
        <w:rPr>
          <w:rFonts w:ascii="Times New Roman" w:hAnsi="Times New Roman" w:cs="Times New Roman"/>
          <w:color w:val="414141"/>
          <w:shd w:val="clear" w:color="auto" w:fill="FFFFFF"/>
        </w:rPr>
        <w:t xml:space="preserve"> в сочетании со стимуляцией блуждающего нерва (</w:t>
      </w:r>
      <w:r w:rsidRPr="00C57C34">
        <w:rPr>
          <w:rFonts w:ascii="Times New Roman" w:hAnsi="Times New Roman" w:cs="Times New Roman"/>
          <w:color w:val="414141"/>
          <w:shd w:val="clear" w:color="auto" w:fill="FFFFFF"/>
          <w:lang w:val="ru-RU"/>
        </w:rPr>
        <w:t>СБН</w:t>
      </w:r>
      <w:r w:rsidRPr="00C57C34">
        <w:rPr>
          <w:rFonts w:ascii="Times New Roman" w:hAnsi="Times New Roman" w:cs="Times New Roman"/>
          <w:color w:val="414141"/>
          <w:shd w:val="clear" w:color="auto" w:fill="FFFFFF"/>
        </w:rPr>
        <w:t xml:space="preserve">), и 34 — </w:t>
      </w:r>
      <w:r w:rsidRPr="00C57C34">
        <w:rPr>
          <w:rFonts w:ascii="Times New Roman" w:hAnsi="Times New Roman" w:cs="Times New Roman"/>
          <w:color w:val="414141"/>
          <w:shd w:val="clear" w:color="auto" w:fill="FFFFFF"/>
          <w:lang w:val="ru-RU"/>
        </w:rPr>
        <w:t>ПСП</w:t>
      </w:r>
      <w:r w:rsidRPr="00C57C34">
        <w:rPr>
          <w:rFonts w:ascii="Times New Roman" w:hAnsi="Times New Roman" w:cs="Times New Roman"/>
          <w:color w:val="414141"/>
          <w:shd w:val="clear" w:color="auto" w:fill="FFFFFF"/>
        </w:rPr>
        <w:t xml:space="preserve"> в сочетании с краниальной хирургией при эпилепсии.</w:t>
      </w:r>
      <w:r w:rsidRPr="00C57C34">
        <w:rPr>
          <w:rFonts w:ascii="Times New Roman" w:hAnsi="Times New Roman" w:cs="Times New Roman"/>
          <w:color w:val="414141"/>
          <w:shd w:val="clear" w:color="auto" w:fill="FFFFFF"/>
          <w:lang w:val="ru-RU"/>
        </w:rPr>
        <w:t xml:space="preserve"> </w:t>
      </w:r>
      <w:r w:rsidRPr="00C57C34">
        <w:rPr>
          <w:rFonts w:ascii="Times New Roman" w:hAnsi="Times New Roman" w:cs="Times New Roman"/>
          <w:color w:val="414141"/>
          <w:shd w:val="clear" w:color="auto" w:fill="FFFFFF"/>
        </w:rPr>
        <w:t xml:space="preserve">В данном одноцентровом исследовании дети и подростки с </w:t>
      </w:r>
      <w:proofErr w:type="spellStart"/>
      <w:r w:rsidRPr="00C57C34">
        <w:rPr>
          <w:rFonts w:ascii="Times New Roman" w:hAnsi="Times New Roman" w:cs="Times New Roman"/>
          <w:color w:val="414141"/>
          <w:shd w:val="clear" w:color="auto" w:fill="FFFFFF"/>
          <w:lang w:val="ru-RU"/>
        </w:rPr>
        <w:t>фармакорезистентной</w:t>
      </w:r>
      <w:proofErr w:type="spellEnd"/>
      <w:r w:rsidRPr="00C57C34">
        <w:rPr>
          <w:rFonts w:ascii="Times New Roman" w:hAnsi="Times New Roman" w:cs="Times New Roman"/>
          <w:color w:val="414141"/>
          <w:shd w:val="clear" w:color="auto" w:fill="FFFFFF"/>
        </w:rPr>
        <w:t xml:space="preserve"> эпилепсией, перенесшие различные виды хирургического лечения, показали значительно более высокие показатели свободы от приступов, а также лучшие результаты в отношении поведения и качества жизни по сравнению с пациентами, получавшими только медикаментозную терапию. Послеоперационные неврологические дефициты соответствовали ожидаемым и были связаны с областью резекции головного мозга.</w:t>
      </w:r>
    </w:p>
    <w:p w:rsidR="004F2C3E" w:rsidRPr="00C57C34" w:rsidRDefault="004F2C3E" w:rsidP="004F2C3E">
      <w:pPr>
        <w:spacing w:after="0" w:line="360" w:lineRule="auto"/>
        <w:jc w:val="both"/>
        <w:rPr>
          <w:rFonts w:ascii="Times New Roman" w:hAnsi="Times New Roman" w:cs="Times New Roman"/>
          <w:color w:val="414141"/>
          <w:shd w:val="clear" w:color="auto" w:fill="FFFFFF"/>
          <w:lang w:val="ru-RU"/>
        </w:rPr>
      </w:pPr>
      <w:r w:rsidRPr="00C57C34">
        <w:rPr>
          <w:rFonts w:ascii="Times New Roman" w:hAnsi="Times New Roman" w:cs="Times New Roman"/>
          <w:b/>
          <w:bCs/>
          <w:color w:val="414141"/>
          <w:shd w:val="clear" w:color="auto" w:fill="FFFFFF"/>
        </w:rPr>
        <w:t>Ключевые слова:</w:t>
      </w:r>
      <w:r w:rsidRPr="00C57C34">
        <w:rPr>
          <w:rFonts w:ascii="Times New Roman" w:hAnsi="Times New Roman" w:cs="Times New Roman"/>
          <w:color w:val="414141"/>
          <w:shd w:val="clear" w:color="auto" w:fill="FFFFFF"/>
        </w:rPr>
        <w:t xml:space="preserve"> </w:t>
      </w:r>
      <w:proofErr w:type="spellStart"/>
      <w:r w:rsidRPr="00C57C34">
        <w:rPr>
          <w:rFonts w:ascii="Times New Roman" w:hAnsi="Times New Roman" w:cs="Times New Roman"/>
          <w:color w:val="414141"/>
          <w:shd w:val="clear" w:color="auto" w:fill="FFFFFF"/>
          <w:lang w:val="ru-RU"/>
        </w:rPr>
        <w:t>фармакорезистентная</w:t>
      </w:r>
      <w:proofErr w:type="spellEnd"/>
      <w:r w:rsidRPr="00C57C34">
        <w:rPr>
          <w:rFonts w:ascii="Times New Roman" w:hAnsi="Times New Roman" w:cs="Times New Roman"/>
          <w:color w:val="414141"/>
          <w:shd w:val="clear" w:color="auto" w:fill="FFFFFF"/>
        </w:rPr>
        <w:t xml:space="preserve"> эпилепсия, стимуляция блуждающего нерва, детская нейрохирургия, хирургия эпилепсии.</w:t>
      </w:r>
    </w:p>
    <w:p w:rsidR="004F2C3E" w:rsidRPr="004F2C3E" w:rsidRDefault="004F2C3E" w:rsidP="004F2C3E">
      <w:pPr>
        <w:pBdr>
          <w:bottom w:val="single" w:sz="12" w:space="1" w:color="auto"/>
        </w:pBdr>
        <w:autoSpaceDE w:val="0"/>
        <w:autoSpaceDN w:val="0"/>
        <w:adjustRightInd w:val="0"/>
        <w:spacing w:after="0" w:line="240" w:lineRule="auto"/>
        <w:jc w:val="both"/>
        <w:rPr>
          <w:rFonts w:ascii="Times New Roman" w:hAnsi="Times New Roman" w:cs="Times New Roman"/>
          <w:lang w:val="en-US"/>
        </w:rPr>
      </w:pPr>
    </w:p>
    <w:p w:rsidR="004F2C3E" w:rsidRDefault="004F2C3E" w:rsidP="00C57C34">
      <w:pPr>
        <w:spacing w:after="0" w:line="360" w:lineRule="auto"/>
        <w:jc w:val="right"/>
        <w:rPr>
          <w:rFonts w:ascii="Times New Roman" w:hAnsi="Times New Roman" w:cs="Times New Roman"/>
          <w:b/>
          <w:bCs/>
          <w:color w:val="414141"/>
          <w:shd w:val="clear" w:color="auto" w:fill="FFFFFF"/>
          <w:lang w:val="ru-RU"/>
        </w:rPr>
      </w:pPr>
    </w:p>
    <w:p w:rsidR="00C57C34" w:rsidRPr="00C57C34" w:rsidRDefault="00C57C34" w:rsidP="00C57C34">
      <w:pPr>
        <w:spacing w:after="0" w:line="360" w:lineRule="auto"/>
        <w:jc w:val="right"/>
        <w:rPr>
          <w:rFonts w:ascii="Times New Roman" w:hAnsi="Times New Roman" w:cs="Times New Roman"/>
          <w:b/>
          <w:bCs/>
          <w:color w:val="414141"/>
          <w:shd w:val="clear" w:color="auto" w:fill="FFFFFF"/>
        </w:rPr>
      </w:pPr>
      <w:r w:rsidRPr="00C57C34">
        <w:rPr>
          <w:rFonts w:ascii="Times New Roman" w:hAnsi="Times New Roman" w:cs="Times New Roman"/>
          <w:b/>
          <w:bCs/>
          <w:color w:val="414141"/>
          <w:shd w:val="clear" w:color="auto" w:fill="FFFFFF"/>
        </w:rPr>
        <w:t>Khusniddinov Sherzod.Rikhsiddin ugli</w:t>
      </w:r>
      <w:r w:rsidRPr="00C57C34">
        <w:rPr>
          <w:rFonts w:ascii="Times New Roman" w:hAnsi="Times New Roman" w:cs="Times New Roman"/>
          <w:b/>
          <w:bCs/>
          <w:color w:val="414141"/>
          <w:shd w:val="clear" w:color="auto" w:fill="FFFFFF"/>
          <w:vertAlign w:val="superscript"/>
        </w:rPr>
        <w:t>1</w:t>
      </w:r>
      <w:r w:rsidRPr="00C57C34">
        <w:rPr>
          <w:rFonts w:ascii="Times New Roman" w:hAnsi="Times New Roman" w:cs="Times New Roman"/>
          <w:b/>
          <w:bCs/>
          <w:color w:val="414141"/>
          <w:shd w:val="clear" w:color="auto" w:fill="FFFFFF"/>
        </w:rPr>
        <w:t>, Shamsieva Umida Abduvakhitovna</w:t>
      </w:r>
      <w:r w:rsidRPr="00C57C34">
        <w:rPr>
          <w:rFonts w:ascii="Times New Roman" w:hAnsi="Times New Roman" w:cs="Times New Roman"/>
          <w:b/>
          <w:bCs/>
          <w:color w:val="414141"/>
          <w:shd w:val="clear" w:color="auto" w:fill="FFFFFF"/>
          <w:vertAlign w:val="superscript"/>
        </w:rPr>
        <w:t>2</w:t>
      </w:r>
      <w:r w:rsidRPr="00C57C34">
        <w:rPr>
          <w:rFonts w:ascii="Times New Roman" w:hAnsi="Times New Roman" w:cs="Times New Roman"/>
          <w:b/>
          <w:bCs/>
          <w:color w:val="414141"/>
          <w:shd w:val="clear" w:color="auto" w:fill="FFFFFF"/>
        </w:rPr>
        <w:t>.</w:t>
      </w:r>
    </w:p>
    <w:p w:rsidR="00C57C34" w:rsidRPr="00C57C34" w:rsidRDefault="00C57C34" w:rsidP="00C57C34">
      <w:pPr>
        <w:spacing w:after="0" w:line="360" w:lineRule="auto"/>
        <w:ind w:firstLine="284"/>
        <w:jc w:val="right"/>
        <w:rPr>
          <w:rFonts w:ascii="Times New Roman" w:hAnsi="Times New Roman" w:cs="Times New Roman"/>
          <w:color w:val="414141"/>
          <w:shd w:val="clear" w:color="auto" w:fill="FFFFFF"/>
          <w:vertAlign w:val="superscript"/>
          <w:lang w:val="en-US"/>
        </w:rPr>
      </w:pPr>
      <w:r w:rsidRPr="00C57C34">
        <w:rPr>
          <w:rFonts w:ascii="Times New Roman" w:hAnsi="Times New Roman" w:cs="Times New Roman"/>
          <w:color w:val="414141"/>
          <w:shd w:val="clear" w:color="auto" w:fill="FFFFFF"/>
        </w:rPr>
        <w:t>National Children’s Medical Center</w:t>
      </w:r>
      <w:r w:rsidRPr="00C57C34">
        <w:rPr>
          <w:rFonts w:ascii="Times New Roman" w:hAnsi="Times New Roman" w:cs="Times New Roman"/>
          <w:color w:val="414141"/>
          <w:shd w:val="clear" w:color="auto" w:fill="FFFFFF"/>
          <w:vertAlign w:val="superscript"/>
          <w:lang w:val="en-US"/>
        </w:rPr>
        <w:t>1</w:t>
      </w:r>
      <w:r w:rsidRPr="00C57C34">
        <w:rPr>
          <w:rFonts w:ascii="Times New Roman" w:hAnsi="Times New Roman" w:cs="Times New Roman"/>
          <w:color w:val="414141"/>
          <w:shd w:val="clear" w:color="auto" w:fill="FFFFFF"/>
        </w:rPr>
        <w:t>, Tashkent Medical Academy</w:t>
      </w:r>
      <w:r w:rsidRPr="00C57C34">
        <w:rPr>
          <w:rFonts w:ascii="Times New Roman" w:hAnsi="Times New Roman" w:cs="Times New Roman"/>
          <w:color w:val="414141"/>
          <w:shd w:val="clear" w:color="auto" w:fill="FFFFFF"/>
          <w:vertAlign w:val="superscript"/>
          <w:lang w:val="en-US"/>
        </w:rPr>
        <w:t>2</w:t>
      </w:r>
    </w:p>
    <w:p w:rsidR="00C57C34" w:rsidRPr="00C57C34" w:rsidRDefault="00C57C34" w:rsidP="00C57C34">
      <w:pPr>
        <w:spacing w:after="0" w:line="360" w:lineRule="auto"/>
        <w:ind w:firstLine="284"/>
        <w:jc w:val="right"/>
        <w:rPr>
          <w:rFonts w:ascii="Times New Roman" w:hAnsi="Times New Roman" w:cs="Times New Roman"/>
          <w:b/>
          <w:bCs/>
          <w:color w:val="414141"/>
          <w:sz w:val="28"/>
          <w:szCs w:val="28"/>
          <w:shd w:val="clear" w:color="auto" w:fill="FFFFFF"/>
          <w:lang w:val="en"/>
        </w:rPr>
      </w:pPr>
    </w:p>
    <w:p w:rsidR="00725099" w:rsidRPr="00C57C34" w:rsidRDefault="00725099" w:rsidP="00104177">
      <w:pPr>
        <w:spacing w:line="360" w:lineRule="auto"/>
        <w:ind w:firstLine="284"/>
        <w:jc w:val="center"/>
        <w:rPr>
          <w:rFonts w:ascii="Times New Roman" w:hAnsi="Times New Roman" w:cs="Times New Roman"/>
          <w:b/>
          <w:bCs/>
          <w:color w:val="414141"/>
          <w:sz w:val="28"/>
          <w:szCs w:val="28"/>
          <w:shd w:val="clear" w:color="auto" w:fill="FFFFFF"/>
          <w:lang w:val="en"/>
        </w:rPr>
      </w:pPr>
      <w:r w:rsidRPr="00C57C34">
        <w:rPr>
          <w:rFonts w:ascii="Times New Roman" w:hAnsi="Times New Roman" w:cs="Times New Roman"/>
          <w:b/>
          <w:bCs/>
          <w:color w:val="414141"/>
          <w:sz w:val="28"/>
          <w:szCs w:val="28"/>
          <w:shd w:val="clear" w:color="auto" w:fill="FFFFFF"/>
          <w:lang w:val="en"/>
        </w:rPr>
        <w:t>Surgical treatment of pediatric drug-resistant epilepsy.</w:t>
      </w:r>
    </w:p>
    <w:p w:rsidR="003A0801" w:rsidRPr="00C57C34" w:rsidRDefault="003A0801" w:rsidP="003A0801">
      <w:pPr>
        <w:spacing w:line="360" w:lineRule="auto"/>
        <w:ind w:firstLine="284"/>
        <w:jc w:val="right"/>
        <w:rPr>
          <w:rFonts w:ascii="Times New Roman" w:hAnsi="Times New Roman" w:cs="Times New Roman"/>
          <w:b/>
          <w:bCs/>
          <w:color w:val="414141"/>
          <w:sz w:val="28"/>
          <w:szCs w:val="28"/>
          <w:shd w:val="clear" w:color="auto" w:fill="FFFFFF"/>
          <w:lang w:val="en-US"/>
        </w:rPr>
      </w:pPr>
      <w:r w:rsidRPr="00C57C34">
        <w:rPr>
          <w:rFonts w:ascii="Times New Roman" w:hAnsi="Times New Roman" w:cs="Times New Roman"/>
          <w:b/>
          <w:bCs/>
          <w:color w:val="414141"/>
          <w:sz w:val="28"/>
          <w:szCs w:val="28"/>
          <w:shd w:val="clear" w:color="auto" w:fill="FFFFFF"/>
          <w:lang w:val="en-US"/>
        </w:rPr>
        <w:t>ANNOTATION</w:t>
      </w:r>
    </w:p>
    <w:p w:rsidR="00725099" w:rsidRPr="00C57C34" w:rsidRDefault="00725099" w:rsidP="00C57C34">
      <w:pPr>
        <w:spacing w:after="0" w:line="360" w:lineRule="auto"/>
        <w:jc w:val="both"/>
        <w:rPr>
          <w:rFonts w:ascii="Times New Roman" w:hAnsi="Times New Roman" w:cs="Times New Roman"/>
          <w:b/>
          <w:bCs/>
          <w:color w:val="212529"/>
          <w:shd w:val="clear" w:color="auto" w:fill="FFFFFF"/>
          <w:lang w:val="en-US"/>
        </w:rPr>
      </w:pPr>
      <w:r w:rsidRPr="00C57C34">
        <w:rPr>
          <w:rFonts w:ascii="Times New Roman" w:hAnsi="Times New Roman" w:cs="Times New Roman"/>
          <w:color w:val="212529"/>
          <w:shd w:val="clear" w:color="auto" w:fill="FFFFFF"/>
        </w:rPr>
        <w:t>Drug-resistant epilepsy (</w:t>
      </w:r>
      <w:r w:rsidRPr="00C57C34">
        <w:rPr>
          <w:rFonts w:ascii="Times New Roman" w:hAnsi="Times New Roman" w:cs="Times New Roman"/>
          <w:color w:val="212529"/>
          <w:shd w:val="clear" w:color="auto" w:fill="FFFFFF"/>
          <w:lang w:val="en-US"/>
        </w:rPr>
        <w:t>DRE</w:t>
      </w:r>
      <w:r w:rsidRPr="00C57C34">
        <w:rPr>
          <w:rFonts w:ascii="Times New Roman" w:hAnsi="Times New Roman" w:cs="Times New Roman"/>
          <w:color w:val="212529"/>
          <w:shd w:val="clear" w:color="auto" w:fill="FFFFFF"/>
        </w:rPr>
        <w:t xml:space="preserve">) affects 25% of all epileptic patients, and quality of life decreases in these patients due to their seizures. Early detection is crucial in order to establish potential treatment alternatives and determine if the patient is a surgical candidate. </w:t>
      </w:r>
      <w:r w:rsidRPr="00C57C34">
        <w:rPr>
          <w:rFonts w:ascii="Times New Roman" w:hAnsi="Times New Roman" w:cs="Times New Roman"/>
          <w:color w:val="414141"/>
          <w:shd w:val="clear" w:color="auto" w:fill="FFFFFF"/>
        </w:rPr>
        <w:t>Neurosurgical treatment may improve seizures in children and adolescents with drug-resistant epilepsy, but additional data are needed from randomized trials.</w:t>
      </w:r>
      <w:r w:rsidR="003A0801" w:rsidRPr="00C57C34">
        <w:rPr>
          <w:rFonts w:ascii="Times New Roman" w:hAnsi="Times New Roman" w:cs="Times New Roman"/>
          <w:b/>
          <w:bCs/>
          <w:color w:val="212529"/>
          <w:shd w:val="clear" w:color="auto" w:fill="FFFFFF"/>
          <w:lang w:val="en-US"/>
        </w:rPr>
        <w:t xml:space="preserve"> </w:t>
      </w:r>
      <w:r w:rsidRPr="00C57C34">
        <w:rPr>
          <w:rFonts w:ascii="Times New Roman" w:hAnsi="Times New Roman" w:cs="Times New Roman"/>
          <w:color w:val="414141"/>
          <w:shd w:val="clear" w:color="auto" w:fill="FFFFFF"/>
        </w:rPr>
        <w:t>A total of 47 patients were identified; 10 treated with ASMs, 3 treated with ASMs + VNS, and 3</w:t>
      </w:r>
      <w:r w:rsidRPr="00C57C34">
        <w:rPr>
          <w:rFonts w:ascii="Times New Roman" w:hAnsi="Times New Roman" w:cs="Times New Roman"/>
          <w:color w:val="414141"/>
          <w:shd w:val="clear" w:color="auto" w:fill="FFFFFF"/>
          <w:lang w:val="en-US"/>
        </w:rPr>
        <w:t>4</w:t>
      </w:r>
      <w:r w:rsidRPr="00C57C34">
        <w:rPr>
          <w:rFonts w:ascii="Times New Roman" w:hAnsi="Times New Roman" w:cs="Times New Roman"/>
          <w:color w:val="414141"/>
          <w:shd w:val="clear" w:color="auto" w:fill="FFFFFF"/>
        </w:rPr>
        <w:t xml:space="preserve"> treated with ASMs + cranial epilepsy </w:t>
      </w:r>
      <w:r w:rsidRPr="00C57C34">
        <w:rPr>
          <w:rFonts w:ascii="Times New Roman" w:hAnsi="Times New Roman" w:cs="Times New Roman"/>
          <w:color w:val="414141"/>
          <w:shd w:val="clear" w:color="auto" w:fill="FFFFFF"/>
        </w:rPr>
        <w:lastRenderedPageBreak/>
        <w:t xml:space="preserve">surgery. </w:t>
      </w:r>
      <w:r w:rsidRPr="00C57C34">
        <w:rPr>
          <w:rFonts w:ascii="Times New Roman" w:hAnsi="Times New Roman" w:cs="Times New Roman"/>
          <w:lang w:val="en-US"/>
        </w:rPr>
        <w:t xml:space="preserve">In this single-center trial, children and adolescents with drug-resistant epilepsy who had undergone different types of epilepsy surgery had a significantly </w:t>
      </w:r>
      <w:r w:rsidR="000B4CCE" w:rsidRPr="00C57C34">
        <w:rPr>
          <w:rFonts w:ascii="Times New Roman" w:hAnsi="Times New Roman" w:cs="Times New Roman"/>
          <w:lang w:val="en-US"/>
        </w:rPr>
        <w:t>higher rate</w:t>
      </w:r>
      <w:r w:rsidRPr="00C57C34">
        <w:rPr>
          <w:rFonts w:ascii="Times New Roman" w:hAnsi="Times New Roman" w:cs="Times New Roman"/>
          <w:lang w:val="en-US"/>
        </w:rPr>
        <w:t xml:space="preserve"> of freedom from seizures and better scores </w:t>
      </w:r>
      <w:r w:rsidRPr="00C57C34">
        <w:rPr>
          <w:rFonts w:ascii="Times New Roman" w:hAnsi="Times New Roman" w:cs="Times New Roman"/>
          <w:color w:val="414141"/>
          <w:shd w:val="clear" w:color="auto" w:fill="FFFFFF"/>
        </w:rPr>
        <w:t>with respect to behavior and quality of life than did those who continued medical therapy alone</w:t>
      </w:r>
      <w:r w:rsidRPr="00C57C34">
        <w:rPr>
          <w:rFonts w:ascii="Times New Roman" w:hAnsi="Times New Roman" w:cs="Times New Roman"/>
          <w:lang w:val="en-US"/>
        </w:rPr>
        <w:t>. The surgery resulted in expected neurological deficits related to the area of ​​brain resection.</w:t>
      </w:r>
    </w:p>
    <w:p w:rsidR="00C57C34" w:rsidRPr="00C57C34" w:rsidRDefault="00725099" w:rsidP="00C57C34">
      <w:pPr>
        <w:pBdr>
          <w:bottom w:val="single" w:sz="12" w:space="1" w:color="auto"/>
        </w:pBdr>
        <w:autoSpaceDE w:val="0"/>
        <w:autoSpaceDN w:val="0"/>
        <w:adjustRightInd w:val="0"/>
        <w:spacing w:after="0" w:line="240" w:lineRule="auto"/>
        <w:ind w:firstLine="709"/>
        <w:jc w:val="both"/>
        <w:rPr>
          <w:rFonts w:ascii="Times New Roman" w:hAnsi="Times New Roman" w:cs="Times New Roman"/>
        </w:rPr>
      </w:pPr>
      <w:r w:rsidRPr="00C57C34">
        <w:rPr>
          <w:rFonts w:ascii="Times New Roman" w:hAnsi="Times New Roman" w:cs="Times New Roman"/>
          <w:b/>
          <w:bCs/>
          <w:color w:val="414141"/>
          <w:shd w:val="clear" w:color="auto" w:fill="FFFFFF"/>
        </w:rPr>
        <w:t>Key words:</w:t>
      </w:r>
      <w:r w:rsidRPr="00C57C34">
        <w:rPr>
          <w:rFonts w:ascii="Times New Roman" w:hAnsi="Times New Roman" w:cs="Times New Roman"/>
          <w:color w:val="414141"/>
          <w:shd w:val="clear" w:color="auto" w:fill="FFFFFF"/>
        </w:rPr>
        <w:t xml:space="preserve"> Drug-resistant epilepsy, Vagus nerve stimulation, Pediatric neurosurgery, Epilepsy surgery</w:t>
      </w:r>
      <w:r w:rsidR="00C57C34" w:rsidRPr="00C57C34">
        <w:rPr>
          <w:rFonts w:ascii="Times New Roman" w:hAnsi="Times New Roman" w:cs="Times New Roman"/>
          <w:b/>
        </w:rPr>
        <w:t xml:space="preserve"> </w:t>
      </w:r>
    </w:p>
    <w:p w:rsidR="00C57C34" w:rsidRPr="004F2C3E" w:rsidRDefault="00C57C34" w:rsidP="00C57C34">
      <w:pPr>
        <w:spacing w:after="0" w:line="360" w:lineRule="auto"/>
        <w:jc w:val="right"/>
        <w:rPr>
          <w:rFonts w:ascii="Times New Roman" w:hAnsi="Times New Roman" w:cs="Times New Roman"/>
          <w:color w:val="414141"/>
          <w:shd w:val="clear" w:color="auto" w:fill="FFFFFF"/>
          <w:lang w:val="en-US"/>
        </w:rPr>
      </w:pPr>
    </w:p>
    <w:p w:rsidR="004F2C3E" w:rsidRPr="004F2C3E" w:rsidRDefault="004F2C3E" w:rsidP="004F2C3E">
      <w:pPr>
        <w:spacing w:line="360" w:lineRule="auto"/>
        <w:jc w:val="both"/>
        <w:rPr>
          <w:rFonts w:ascii="Times New Roman" w:hAnsi="Times New Roman" w:cs="Times New Roman"/>
          <w:lang w:val="ru-RU"/>
        </w:rPr>
      </w:pPr>
      <w:r w:rsidRPr="004F2C3E">
        <w:rPr>
          <w:rFonts w:ascii="Times New Roman" w:hAnsi="Times New Roman" w:cs="Times New Roman"/>
          <w:b/>
          <w:bCs/>
        </w:rPr>
        <w:t>Введение.</w:t>
      </w:r>
      <w:r>
        <w:rPr>
          <w:rFonts w:ascii="Times New Roman" w:hAnsi="Times New Roman" w:cs="Times New Roman"/>
          <w:b/>
          <w:bCs/>
          <w:lang w:val="ru-RU"/>
        </w:rPr>
        <w:t xml:space="preserve"> </w:t>
      </w:r>
      <w:r w:rsidRPr="004F2C3E">
        <w:rPr>
          <w:rFonts w:ascii="Times New Roman" w:hAnsi="Times New Roman" w:cs="Times New Roman"/>
        </w:rPr>
        <w:t>Хотя понятие лекарственно-резистентной эпилепсии (часто используемое взаимозаменяемо с терминами «медицински рефрактерная/интрактaбельная» или «фармакорезистентная») может казаться самоочевидным и интуитивно понятным, его точное определение долгое время оставалось неуловимым.¹ Международная лига по борьбе с эпилепсией (ILAE) определяет лекарственно-резистентную эпилепсию как «неэффективность адекватных курсов лечения двумя переносимыми, правильно подобранными и применяемыми схемами противоэпилептических препаратов (как в виде монотерапии, так и в комбинации) в достижении стойкой свободы от приступов».² Свобода от приступов считается стойкой, если пациент не испытывает приступов более одного года либо если редкие приступы разделены интервалом, в три раза превышающим самый длительный интервал между приступами до начала лечения, — в зависимости от того, какой из этих периодов больше.</w:t>
      </w:r>
      <w:r>
        <w:rPr>
          <w:rFonts w:ascii="Times New Roman" w:hAnsi="Times New Roman" w:cs="Times New Roman"/>
        </w:rPr>
        <w:t xml:space="preserve"> </w:t>
      </w:r>
      <w:r w:rsidRPr="004F2C3E">
        <w:rPr>
          <w:rFonts w:ascii="Times New Roman" w:hAnsi="Times New Roman" w:cs="Times New Roman"/>
        </w:rPr>
        <w:t>Эпилепсия является серьёзной глобальной проблемой здравоохранения и составляет около 1% всех заболеваний в мире.³ Примерно у 25% всех пациентов с эпилепсией развивается лекарственно-резистентная форма заболевания.² Вследствие недостаточного контроля эпилептических приступов у таких пациентов повышается риск преждевременной смерти, травм и психосоциальных нарушений, а качество жизни существенно снижается. Лекарственно-резистентная эпилепсия может характеризоваться временными периодами ремиссии (ежегодно примерно у 4% взрослых пациентов, при более высоких показателях у детей), однако эпилептические приступы часто возобновляются.</w:t>
      </w:r>
      <w:r>
        <w:rPr>
          <w:rFonts w:ascii="Times New Roman" w:hAnsi="Times New Roman" w:cs="Times New Roman"/>
        </w:rPr>
        <w:t xml:space="preserve"> </w:t>
      </w:r>
      <w:r w:rsidRPr="004F2C3E">
        <w:rPr>
          <w:rFonts w:ascii="Times New Roman" w:hAnsi="Times New Roman" w:cs="Times New Roman"/>
        </w:rPr>
        <w:t xml:space="preserve">Поэтому выявление пациентов с лекарственно-резистентной эпилепсией имеет принципиальное значение для своевременного начала подготовки к предоперационному обследованию и организации возможных альтернативных методов лечения в специализированных отделениях или центрах. Традиционно терапевтическая неэффективность трёх противосудорожных препаратов считалась критерием интрактaбельности заболевания.⁴ Хирургическое лечение эпилепсии может обеспечить излечение или значительное улучшение состояния </w:t>
      </w:r>
      <w:r w:rsidRPr="004F2C3E">
        <w:rPr>
          <w:rFonts w:ascii="Times New Roman" w:hAnsi="Times New Roman" w:cs="Times New Roman"/>
        </w:rPr>
        <w:lastRenderedPageBreak/>
        <w:t>пациентов с лекарственно-резистентными приступами фокального начала. К сожалению, хирургия эпилепсии до сих пор используется недостаточно широко, что отчасти может быть связано со сложностью предоперационного обследования. Предоперационная оценка включает классификацию типа приступов, латерализацию и локализацию очага начала приступов (эпилептогенной зоны), а также подтверждение безопасности предполагаемого нейрохирургического вмешательства с точки зрения возможных нейрокогнитивных дефицитов (речевых и мнестических функций) перед разработкой хирургического плана.⁵</w:t>
      </w:r>
    </w:p>
    <w:p w:rsidR="004F2C3E" w:rsidRPr="004F2C3E" w:rsidRDefault="004F2C3E" w:rsidP="004F2C3E">
      <w:pPr>
        <w:spacing w:line="360" w:lineRule="auto"/>
        <w:jc w:val="both"/>
        <w:rPr>
          <w:rFonts w:ascii="Times New Roman" w:hAnsi="Times New Roman" w:cs="Times New Roman"/>
        </w:rPr>
      </w:pPr>
      <w:r w:rsidRPr="004F2C3E">
        <w:rPr>
          <w:rFonts w:ascii="Times New Roman" w:hAnsi="Times New Roman" w:cs="Times New Roman"/>
          <w:b/>
          <w:bCs/>
        </w:rPr>
        <w:t>Патогенез лекарственно-резистентной эпилепсии.</w:t>
      </w:r>
      <w:r>
        <w:rPr>
          <w:rFonts w:ascii="Times New Roman" w:hAnsi="Times New Roman" w:cs="Times New Roman"/>
          <w:b/>
          <w:bCs/>
        </w:rPr>
        <w:t xml:space="preserve"> </w:t>
      </w:r>
      <w:r w:rsidRPr="004F2C3E">
        <w:rPr>
          <w:rFonts w:ascii="Times New Roman" w:hAnsi="Times New Roman" w:cs="Times New Roman"/>
        </w:rPr>
        <w:t>Патогенез эпилепсии является сложным и в настоящее время общепризнанно считается обусловленным дисбалансом между возбуждающими и тормозными процессами в центральной нервной системе. На сегодняшний день основные гипотезы, объясняющие патогенез лекарственно-резистентной эпилепсии, включают, в частности, транспортную гипотезу, гипотезу мишени и др.</w:t>
      </w:r>
    </w:p>
    <w:p w:rsidR="004F2C3E" w:rsidRPr="004F2C3E" w:rsidRDefault="004F2C3E" w:rsidP="004F2C3E">
      <w:pPr>
        <w:spacing w:line="360" w:lineRule="auto"/>
        <w:jc w:val="both"/>
        <w:rPr>
          <w:rFonts w:ascii="Times New Roman" w:hAnsi="Times New Roman" w:cs="Times New Roman"/>
        </w:rPr>
      </w:pPr>
      <w:r w:rsidRPr="004F2C3E">
        <w:rPr>
          <w:rFonts w:ascii="Times New Roman" w:hAnsi="Times New Roman" w:cs="Times New Roman"/>
          <w:b/>
          <w:bCs/>
        </w:rPr>
        <w:t>Транспортная гипотеза.</w:t>
      </w:r>
      <w:r>
        <w:rPr>
          <w:rFonts w:ascii="Times New Roman" w:hAnsi="Times New Roman" w:cs="Times New Roman"/>
          <w:b/>
          <w:bCs/>
          <w:lang w:val="ru-RU"/>
        </w:rPr>
        <w:t xml:space="preserve"> </w:t>
      </w:r>
      <w:r w:rsidRPr="004F2C3E">
        <w:rPr>
          <w:rFonts w:ascii="Times New Roman" w:hAnsi="Times New Roman" w:cs="Times New Roman"/>
        </w:rPr>
        <w:t>Большинство противоэпилептических препаратов реализуют своё противосудорожное действие в головном мозге, преодолевая гематоэнцефалический барьер.⁷ Кроме того, сверхэкспрессия мультилекарственных транспортёров, участвующих в выведении веществ из эндотелиальных клеток капилляров, формирующих гематоэнцефалический барьер, может приводить к усиленному внутриклеточному выведению препаратов или их секвестрации в изолированных везикулах. В результате снижается внутриклеточная концентрация лекарственных средств или изменяется их распределение; вследствие этого противоэпилептические препараты в эпилептогенной зоне и прилежащих тканях не достигают эффективной терапевтической концентрации, что приводит к развитию лекарственной резистентности.⁸</w:t>
      </w:r>
      <w:r>
        <w:rPr>
          <w:rFonts w:ascii="Times New Roman" w:hAnsi="Times New Roman" w:cs="Times New Roman"/>
        </w:rPr>
        <w:t xml:space="preserve"> </w:t>
      </w:r>
      <w:r w:rsidRPr="004F2C3E">
        <w:rPr>
          <w:rFonts w:ascii="Times New Roman" w:hAnsi="Times New Roman" w:cs="Times New Roman"/>
        </w:rPr>
        <w:t>В настоящее время наиболее активно изучаемыми мультилекарственными транспортёрами являются P-гликопротеин (P-gp), белки множественной лекарственной устойчивости (MRP) и белок резистентности рака молочной железы (BCRP).⁹ Ряд широко применяемых препаратов, таких как карбамазепин, фелбамат, габапентин, ламотриджин, фенобарбитал, фенитоин и топирамат, являются субстратами P-гликопротеина; в то же время фенитоин также является субстратом белка множественной лекарственной устойчивости-2 (MRP2).¹⁰˒¹¹ Керстин Рёмерманн и соавт. показали, что ламотриджин является субстратом BCRP, что подтверждает данную гипотезу.¹²</w:t>
      </w:r>
    </w:p>
    <w:p w:rsidR="004F2C3E" w:rsidRPr="004F2C3E" w:rsidRDefault="004F2C3E" w:rsidP="004F2C3E">
      <w:pPr>
        <w:spacing w:line="360" w:lineRule="auto"/>
        <w:jc w:val="both"/>
        <w:rPr>
          <w:rFonts w:ascii="Times New Roman" w:hAnsi="Times New Roman" w:cs="Times New Roman"/>
        </w:rPr>
      </w:pPr>
      <w:r w:rsidRPr="004F2C3E">
        <w:rPr>
          <w:rFonts w:ascii="Times New Roman" w:hAnsi="Times New Roman" w:cs="Times New Roman"/>
          <w:b/>
          <w:bCs/>
        </w:rPr>
        <w:lastRenderedPageBreak/>
        <w:t>Гипотеза мишени.</w:t>
      </w:r>
      <w:r>
        <w:rPr>
          <w:rFonts w:ascii="Times New Roman" w:hAnsi="Times New Roman" w:cs="Times New Roman"/>
          <w:b/>
          <w:bCs/>
        </w:rPr>
        <w:t xml:space="preserve"> </w:t>
      </w:r>
      <w:r w:rsidRPr="004F2C3E">
        <w:rPr>
          <w:rFonts w:ascii="Times New Roman" w:hAnsi="Times New Roman" w:cs="Times New Roman"/>
        </w:rPr>
        <w:t>Гипотеза мишени предполагает, что противоэпилептические препараты не способны подавлять чрезмерную нейрональную разрядку посредством связывания с предопределённой мишенью в тех случаях, когда структура или функция мишени противоэпилептических средств изменяется. В результате эпилептические приступы становятся неконтролируемыми, что главным образом проявляется нарушением функции ионных каналов.¹³ В настоящее время установлено, что потенциалзависимые натриевые каналы (VGSC) преимущественно экспрессируются в возбуждающих нейронах и являются основной мишенью традиционных противоэпилептических препаратов первой линии.¹⁴ Исследования показали, что мутация гена **SCN1A** (кодирующего нейрональный натриевый канал типа I, α-субъединицу) является основным патогенетическим фактором тяжёлой миоклонической эпилепсии младенческого возраста.¹⁵</w:t>
      </w:r>
      <w:r>
        <w:rPr>
          <w:rFonts w:ascii="Times New Roman" w:hAnsi="Times New Roman" w:cs="Times New Roman"/>
        </w:rPr>
        <w:t xml:space="preserve"> </w:t>
      </w:r>
      <w:r w:rsidRPr="004F2C3E">
        <w:rPr>
          <w:rFonts w:ascii="Times New Roman" w:hAnsi="Times New Roman" w:cs="Times New Roman"/>
        </w:rPr>
        <w:t>Кроме того, модельные эксперименты на нокаутных мышах, имитирующих человеческие каналопатии, подтвердили, что мутация **SCN1A** приводит к снижению уровня экспрессии подтипа натриевых каналов Nav1.1, что вызывает уменьшение возбудимости тормозных нейронов, функциональное ослабление тормозных нейронных контуров и повышение общей нейрональной возбудимости — факторов, необходимых для возникновения эпилептических приступов.¹⁶ Мутации генов натриевых каналов обусловливают частичную утрату функциональных мишеней противоэпилептических препаратов, снижение амплитуды и продолжительности тормозного натриевого тока, повышение возбудимости всей нейронной сети и распространение потенциала действия на весь мозг или его отдельные области, что в конечном итоге приводит к формированию эпилептической разрядки. Кроме того, Escayg A. и соавт. при сравнении 226 пациентов с лекарственно-резистентной эпилепсией и 185 лиц контрольной группы показали, что частота мутаций **SCN1A** у пациентов с лекарственно-резистентной эпилепсией была достоверно выше, чем в контрольной группе.¹⁷</w:t>
      </w:r>
    </w:p>
    <w:p w:rsidR="004F2C3E" w:rsidRPr="004F2C3E" w:rsidRDefault="004F2C3E" w:rsidP="004F2C3E">
      <w:pPr>
        <w:spacing w:line="360" w:lineRule="auto"/>
        <w:jc w:val="both"/>
        <w:rPr>
          <w:rFonts w:ascii="Times New Roman" w:hAnsi="Times New Roman" w:cs="Times New Roman"/>
        </w:rPr>
      </w:pPr>
      <w:r w:rsidRPr="004F2C3E">
        <w:rPr>
          <w:rFonts w:ascii="Times New Roman" w:hAnsi="Times New Roman" w:cs="Times New Roman"/>
          <w:b/>
          <w:bCs/>
        </w:rPr>
        <w:t>Хирургическое лечение лекарственно-резистентной эпилепсии.</w:t>
      </w:r>
      <w:r>
        <w:rPr>
          <w:rFonts w:ascii="Times New Roman" w:hAnsi="Times New Roman" w:cs="Times New Roman"/>
          <w:b/>
          <w:bCs/>
          <w:lang w:val="ru-RU"/>
        </w:rPr>
        <w:t xml:space="preserve"> </w:t>
      </w:r>
      <w:r w:rsidRPr="004F2C3E">
        <w:rPr>
          <w:rFonts w:ascii="Times New Roman" w:hAnsi="Times New Roman" w:cs="Times New Roman"/>
        </w:rPr>
        <w:t xml:space="preserve">Несмотря на то что в клиническую практику постоянно внедряется множество новых противоэпилептических препаратов, более чем у 30% пациентов с эпилепсией заболевание по-прежнему переходит в лекарственно-резистентную форму.⁶ С непрерывным развитием науки и технологий появились различные методы хирургического лечения, и в настоящее время хирургия стала одним из важнейших терапевтических подходов при лекарственно-резистентной эпилепсии. Цель </w:t>
      </w:r>
      <w:r w:rsidRPr="004F2C3E">
        <w:rPr>
          <w:rFonts w:ascii="Times New Roman" w:hAnsi="Times New Roman" w:cs="Times New Roman"/>
        </w:rPr>
        <w:lastRenderedPageBreak/>
        <w:t>хирургического вмешательства заключается в снижении частоты приступов, минимизации послеоперационных нежелательных реакций и, в определённой степени, в улучшении качества жизни пациентов. В целом необходимо оптимизировать предоперационное состояние больных в соответствии с критериями хирургического лечения. В настоящее время хирургические методы лечения эпилепсии подразделяются на резекционные операции, паллиативные вмешательства, нейростимуляцию и другие виды хирургических вмешательств.</w:t>
      </w:r>
    </w:p>
    <w:p w:rsidR="004F2C3E" w:rsidRPr="004F2C3E" w:rsidRDefault="004F2C3E" w:rsidP="004F2C3E">
      <w:pPr>
        <w:spacing w:line="360" w:lineRule="auto"/>
        <w:jc w:val="both"/>
        <w:rPr>
          <w:rFonts w:ascii="Times New Roman" w:hAnsi="Times New Roman" w:cs="Times New Roman"/>
        </w:rPr>
      </w:pPr>
      <w:r w:rsidRPr="004F2C3E">
        <w:rPr>
          <w:rFonts w:ascii="Times New Roman" w:hAnsi="Times New Roman" w:cs="Times New Roman"/>
          <w:b/>
          <w:bCs/>
        </w:rPr>
        <w:t>Пациенты и методы.</w:t>
      </w:r>
      <w:r>
        <w:rPr>
          <w:rFonts w:ascii="Times New Roman" w:hAnsi="Times New Roman" w:cs="Times New Roman"/>
          <w:b/>
          <w:bCs/>
          <w:lang w:val="ru-RU"/>
        </w:rPr>
        <w:t xml:space="preserve"> </w:t>
      </w:r>
      <w:r w:rsidRPr="004F2C3E">
        <w:rPr>
          <w:rFonts w:ascii="Times New Roman" w:hAnsi="Times New Roman" w:cs="Times New Roman"/>
        </w:rPr>
        <w:t>Проведено проспективное и ретроспективное исследование 47 случаев лекарственно-резистентной эпилепсии в Национальном детском медицинском центре. Всем пациентам были выполнены сбор анамнеза и клиническое обследование. В рамках анализа доступности хирургического лечения эпилепсии и различий в оказании медицинской помощи были изучены следующие группы пациентов: получавшие только противосудорожную терапию (antieizure medications, ASMs); получавшие ASMs в сочетании со стимуляцией блуждающего нерва (vagus nerve stimulation, VNS); а также получавшие ASMs в сочетании с краниальной хирургией эпилепсии.</w:t>
      </w:r>
    </w:p>
    <w:p w:rsidR="004F2C3E" w:rsidRPr="004F2C3E" w:rsidRDefault="004F2C3E" w:rsidP="004F2C3E">
      <w:pPr>
        <w:spacing w:line="360" w:lineRule="auto"/>
        <w:jc w:val="both"/>
        <w:rPr>
          <w:rFonts w:ascii="Times New Roman" w:hAnsi="Times New Roman" w:cs="Times New Roman"/>
        </w:rPr>
      </w:pPr>
      <w:r w:rsidRPr="004F2C3E">
        <w:rPr>
          <w:rFonts w:ascii="Times New Roman" w:hAnsi="Times New Roman" w:cs="Times New Roman"/>
        </w:rPr>
        <w:t xml:space="preserve">Все пациенты прошли магнитно-резонансную томографию (МРТ) на аппарате 3 Тл в соответствии с протоколом HARNESS-MRI, а также электроэнцефалографию (ЭЭГ). Для оценки исходов судорожных приступов использовалась классификация Энгеля </w:t>
      </w:r>
      <w:r>
        <w:rPr>
          <w:rFonts w:ascii="Times New Roman" w:hAnsi="Times New Roman" w:cs="Times New Roman"/>
          <w:lang w:val="ru-RU"/>
        </w:rPr>
        <w:t xml:space="preserve">(КЭ) </w:t>
      </w:r>
      <w:r w:rsidRPr="004F2C3E">
        <w:rPr>
          <w:rFonts w:ascii="Times New Roman" w:hAnsi="Times New Roman" w:cs="Times New Roman"/>
        </w:rPr>
        <w:t>(Engel classification, EC). Изучаемые предоперационные факторы включали тип лечения эпилепсии, возраст, пол, тип пациента, форму эпилепсии и наличие сложных хронических заболеваний детского возраста (pediatric complex chronic conditions, PCCCs).</w:t>
      </w:r>
    </w:p>
    <w:p w:rsidR="004F2C3E" w:rsidRPr="004F2C3E" w:rsidRDefault="004F2C3E" w:rsidP="004F2C3E">
      <w:pPr>
        <w:spacing w:line="360" w:lineRule="auto"/>
        <w:jc w:val="both"/>
        <w:rPr>
          <w:rFonts w:ascii="Times New Roman" w:hAnsi="Times New Roman" w:cs="Times New Roman"/>
        </w:rPr>
      </w:pPr>
      <w:r w:rsidRPr="004F2C3E">
        <w:rPr>
          <w:rFonts w:ascii="Times New Roman" w:hAnsi="Times New Roman" w:cs="Times New Roman"/>
          <w:b/>
          <w:bCs/>
        </w:rPr>
        <w:t>Результаты.</w:t>
      </w:r>
      <w:r>
        <w:rPr>
          <w:rFonts w:ascii="Times New Roman" w:hAnsi="Times New Roman" w:cs="Times New Roman"/>
          <w:b/>
          <w:bCs/>
        </w:rPr>
        <w:t xml:space="preserve"> </w:t>
      </w:r>
      <w:r w:rsidRPr="004F2C3E">
        <w:rPr>
          <w:rFonts w:ascii="Times New Roman" w:hAnsi="Times New Roman" w:cs="Times New Roman"/>
        </w:rPr>
        <w:t>Всего было идентифицировано 47 пациентов: 10 получали только ASMs, 3 — ASMs в сочетании с VNS и 34 — ASMs в сочетании с краниальной хирургией эпилепсии. Основные анализируемые характеристики были следующими:</w:t>
      </w:r>
    </w:p>
    <w:p w:rsidR="004F2C3E" w:rsidRPr="004F2C3E" w:rsidRDefault="004F2C3E" w:rsidP="004F2C3E">
      <w:pPr>
        <w:spacing w:line="360" w:lineRule="auto"/>
        <w:jc w:val="both"/>
        <w:rPr>
          <w:rFonts w:ascii="Times New Roman" w:hAnsi="Times New Roman" w:cs="Times New Roman"/>
        </w:rPr>
      </w:pPr>
      <w:r w:rsidRPr="004F2C3E">
        <w:rPr>
          <w:rFonts w:ascii="Times New Roman" w:hAnsi="Times New Roman" w:cs="Times New Roman"/>
        </w:rPr>
        <w:t>Возраст: от 15 дней до 9 лет — 60% пациентов; до 18 лет — 40%;</w:t>
      </w:r>
    </w:p>
    <w:p w:rsidR="004F2C3E" w:rsidRPr="004F2C3E" w:rsidRDefault="004F2C3E" w:rsidP="004F2C3E">
      <w:pPr>
        <w:spacing w:line="360" w:lineRule="auto"/>
        <w:jc w:val="both"/>
        <w:rPr>
          <w:rFonts w:ascii="Times New Roman" w:hAnsi="Times New Roman" w:cs="Times New Roman"/>
        </w:rPr>
      </w:pPr>
      <w:r w:rsidRPr="004F2C3E">
        <w:rPr>
          <w:rFonts w:ascii="Times New Roman" w:hAnsi="Times New Roman" w:cs="Times New Roman"/>
        </w:rPr>
        <w:t>Пол: 28 девочек (59,57%) и 19 мальчиков (40,42%);</w:t>
      </w:r>
    </w:p>
    <w:p w:rsidR="004F2C3E" w:rsidRPr="004F2C3E" w:rsidRDefault="004F2C3E" w:rsidP="004F2C3E">
      <w:pPr>
        <w:spacing w:line="360" w:lineRule="auto"/>
        <w:jc w:val="both"/>
        <w:rPr>
          <w:rFonts w:ascii="Times New Roman" w:hAnsi="Times New Roman" w:cs="Times New Roman"/>
        </w:rPr>
      </w:pPr>
      <w:r w:rsidRPr="004F2C3E">
        <w:rPr>
          <w:rFonts w:ascii="Times New Roman" w:hAnsi="Times New Roman" w:cs="Times New Roman"/>
        </w:rPr>
        <w:t>Тип эпилепсии:</w:t>
      </w:r>
      <w:r>
        <w:rPr>
          <w:rFonts w:ascii="Times New Roman" w:hAnsi="Times New Roman" w:cs="Times New Roman"/>
        </w:rPr>
        <w:t xml:space="preserve"> </w:t>
      </w:r>
      <w:r w:rsidRPr="004F2C3E">
        <w:rPr>
          <w:rFonts w:ascii="Times New Roman" w:hAnsi="Times New Roman" w:cs="Times New Roman"/>
        </w:rPr>
        <w:t>фокальная (парциальная) эпилепсия — 27 пациентов (57,44%); генерализованная лекарственно-резистентная эпилепсия — 20 пациентов (42,55%).</w:t>
      </w:r>
    </w:p>
    <w:p w:rsidR="004F2C3E" w:rsidRPr="004F2C3E" w:rsidRDefault="004F2C3E" w:rsidP="004F2C3E">
      <w:pPr>
        <w:spacing w:line="360" w:lineRule="auto"/>
        <w:jc w:val="both"/>
        <w:rPr>
          <w:rFonts w:ascii="Times New Roman" w:hAnsi="Times New Roman" w:cs="Times New Roman"/>
        </w:rPr>
      </w:pPr>
      <w:r w:rsidRPr="004F2C3E">
        <w:rPr>
          <w:rFonts w:ascii="Times New Roman" w:hAnsi="Times New Roman" w:cs="Times New Roman"/>
        </w:rPr>
        <w:lastRenderedPageBreak/>
        <w:t>Только противосудорожную терапию получали 10 пациентов (21,27%). Виды краниальных хирургических вмешательств распределялись следующим образом: стимуляция блуждающего нерва — 3 случая (6,38%), хирургическое лечение фокальной кортикальной дисплазии (FCD) — 24 случая (51,06%), каллозотомия — 8 случаев (17,02%), функциональная периинсулярная гемисферотомия — 2 случая (4,25%).</w:t>
      </w:r>
    </w:p>
    <w:p w:rsidR="004F2C3E" w:rsidRPr="004F2C3E" w:rsidRDefault="004F2C3E" w:rsidP="004F2C3E">
      <w:pPr>
        <w:spacing w:line="360" w:lineRule="auto"/>
        <w:jc w:val="both"/>
        <w:rPr>
          <w:rFonts w:ascii="Times New Roman" w:hAnsi="Times New Roman" w:cs="Times New Roman"/>
        </w:rPr>
      </w:pPr>
      <w:r w:rsidRPr="004F2C3E">
        <w:rPr>
          <w:rFonts w:ascii="Times New Roman" w:hAnsi="Times New Roman" w:cs="Times New Roman"/>
        </w:rPr>
        <w:t>Результаты контроля приступов по шкале Энгеля были следующими:</w:t>
      </w:r>
    </w:p>
    <w:p w:rsidR="004F2C3E" w:rsidRPr="004F2C3E" w:rsidRDefault="004F2C3E" w:rsidP="004F2C3E">
      <w:pPr>
        <w:spacing w:line="360" w:lineRule="auto"/>
        <w:jc w:val="both"/>
        <w:rPr>
          <w:rFonts w:ascii="Times New Roman" w:hAnsi="Times New Roman" w:cs="Times New Roman"/>
        </w:rPr>
      </w:pPr>
      <w:r>
        <w:rPr>
          <w:rFonts w:ascii="Times New Roman" w:hAnsi="Times New Roman" w:cs="Times New Roman"/>
          <w:lang w:val="ru-RU"/>
        </w:rPr>
        <w:t>КЭ</w:t>
      </w:r>
      <w:r w:rsidRPr="004F2C3E">
        <w:rPr>
          <w:rFonts w:ascii="Times New Roman" w:hAnsi="Times New Roman" w:cs="Times New Roman"/>
        </w:rPr>
        <w:t xml:space="preserve"> I — 53,12%;</w:t>
      </w:r>
    </w:p>
    <w:p w:rsidR="004F2C3E" w:rsidRPr="004F2C3E" w:rsidRDefault="004F2C3E" w:rsidP="004F2C3E">
      <w:pPr>
        <w:spacing w:line="360" w:lineRule="auto"/>
        <w:jc w:val="both"/>
        <w:rPr>
          <w:rFonts w:ascii="Times New Roman" w:hAnsi="Times New Roman" w:cs="Times New Roman"/>
        </w:rPr>
      </w:pPr>
      <w:r>
        <w:rPr>
          <w:rFonts w:ascii="Times New Roman" w:hAnsi="Times New Roman" w:cs="Times New Roman"/>
          <w:lang w:val="ru-RU"/>
        </w:rPr>
        <w:t>КЭ</w:t>
      </w:r>
      <w:r w:rsidRPr="004F2C3E">
        <w:rPr>
          <w:rFonts w:ascii="Times New Roman" w:hAnsi="Times New Roman" w:cs="Times New Roman"/>
        </w:rPr>
        <w:t xml:space="preserve"> II — 40,68%;</w:t>
      </w:r>
    </w:p>
    <w:p w:rsidR="004F2C3E" w:rsidRDefault="004F2C3E" w:rsidP="004F2C3E">
      <w:pPr>
        <w:spacing w:line="360" w:lineRule="auto"/>
        <w:jc w:val="both"/>
        <w:rPr>
          <w:rFonts w:ascii="Times New Roman" w:hAnsi="Times New Roman" w:cs="Times New Roman"/>
        </w:rPr>
      </w:pPr>
      <w:r>
        <w:rPr>
          <w:rFonts w:ascii="Times New Roman" w:hAnsi="Times New Roman" w:cs="Times New Roman"/>
          <w:lang w:val="ru-RU"/>
        </w:rPr>
        <w:t>КЭ</w:t>
      </w:r>
      <w:r w:rsidRPr="004F2C3E">
        <w:rPr>
          <w:rFonts w:ascii="Times New Roman" w:hAnsi="Times New Roman" w:cs="Times New Roman"/>
        </w:rPr>
        <w:t xml:space="preserve"> IV — 6,2%.</w:t>
      </w:r>
    </w:p>
    <w:p w:rsidR="004F2C3E" w:rsidRPr="004F2C3E" w:rsidRDefault="004F2C3E" w:rsidP="004F2C3E">
      <w:pPr>
        <w:spacing w:line="360" w:lineRule="auto"/>
        <w:jc w:val="both"/>
        <w:rPr>
          <w:rFonts w:ascii="Times New Roman" w:hAnsi="Times New Roman" w:cs="Times New Roman"/>
          <w:lang w:val="ru-RU"/>
        </w:rPr>
      </w:pPr>
      <w:r w:rsidRPr="004F2C3E">
        <w:rPr>
          <w:rFonts w:ascii="Times New Roman" w:hAnsi="Times New Roman" w:cs="Times New Roman"/>
          <w:b/>
          <w:bCs/>
          <w:lang w:val="ru-RU"/>
        </w:rPr>
        <w:t>Обсуждение.</w:t>
      </w:r>
      <w:r>
        <w:rPr>
          <w:rFonts w:ascii="Times New Roman" w:hAnsi="Times New Roman" w:cs="Times New Roman"/>
          <w:b/>
          <w:bCs/>
          <w:lang w:val="ru-RU"/>
        </w:rPr>
        <w:t xml:space="preserve"> </w:t>
      </w:r>
      <w:r w:rsidRPr="004F2C3E">
        <w:rPr>
          <w:rFonts w:ascii="Times New Roman" w:hAnsi="Times New Roman" w:cs="Times New Roman"/>
          <w:lang w:val="ru-RU"/>
        </w:rPr>
        <w:t xml:space="preserve">В случае лекарственно-резистентной эпилепсии точность хирургической резекции имеет решающее значение для достижения полной или частичной свободы от приступов. Точная предоперационная локализация </w:t>
      </w:r>
      <w:proofErr w:type="spellStart"/>
      <w:r w:rsidRPr="004F2C3E">
        <w:rPr>
          <w:rFonts w:ascii="Times New Roman" w:hAnsi="Times New Roman" w:cs="Times New Roman"/>
          <w:lang w:val="ru-RU"/>
        </w:rPr>
        <w:t>эпилептогенной</w:t>
      </w:r>
      <w:proofErr w:type="spellEnd"/>
      <w:r w:rsidRPr="004F2C3E">
        <w:rPr>
          <w:rFonts w:ascii="Times New Roman" w:hAnsi="Times New Roman" w:cs="Times New Roman"/>
          <w:lang w:val="ru-RU"/>
        </w:rPr>
        <w:t xml:space="preserve"> зоны не только способствует снижению хирургических рисков, но и позволяет разработать оптимальную стратегию оперативного вмешательства, что, в свою очередь, оказывает существенное влияние на уменьшение послеоперационных осложнений и улучшение прогноза. В связи с этим чрезвычайно важно точно определить как </w:t>
      </w:r>
      <w:proofErr w:type="spellStart"/>
      <w:r w:rsidRPr="004F2C3E">
        <w:rPr>
          <w:rFonts w:ascii="Times New Roman" w:hAnsi="Times New Roman" w:cs="Times New Roman"/>
          <w:lang w:val="ru-RU"/>
        </w:rPr>
        <w:t>эпилептогенную</w:t>
      </w:r>
      <w:proofErr w:type="spellEnd"/>
      <w:r w:rsidRPr="004F2C3E">
        <w:rPr>
          <w:rFonts w:ascii="Times New Roman" w:hAnsi="Times New Roman" w:cs="Times New Roman"/>
          <w:lang w:val="ru-RU"/>
        </w:rPr>
        <w:t xml:space="preserve"> зону, так и функционально значимые области головного мозга.</w:t>
      </w:r>
      <w:r>
        <w:rPr>
          <w:rFonts w:ascii="Times New Roman" w:hAnsi="Times New Roman" w:cs="Times New Roman"/>
          <w:lang w:val="ru-RU"/>
        </w:rPr>
        <w:t xml:space="preserve"> </w:t>
      </w:r>
      <w:r w:rsidRPr="004F2C3E">
        <w:rPr>
          <w:rFonts w:ascii="Times New Roman" w:hAnsi="Times New Roman" w:cs="Times New Roman"/>
          <w:lang w:val="ru-RU"/>
        </w:rPr>
        <w:t>В настоящем исследовании были оценены клинические характеристики и результаты лечения 47 педиатрических пациентов с эпилепсией, при этом особое внимание уделялось различиям в терапевтических подходах и исходах контроля приступов. В исследуемой когорте преобладали дети младшего возраста (60% — младше 9 лет), с небольшим преобладанием девочек (59,57%), что соответствует данным ранее опубликованных педиатрических когорт пациентов с эпилепсией. Большинство пациентов имели диагноз фокальной или парциальной эпилепсии (57,44%), что отражает распространённость фокальных форм эпилепсии в детской популяции.</w:t>
      </w:r>
      <w:r>
        <w:rPr>
          <w:rFonts w:ascii="Times New Roman" w:hAnsi="Times New Roman" w:cs="Times New Roman"/>
          <w:lang w:val="ru-RU"/>
        </w:rPr>
        <w:t xml:space="preserve"> </w:t>
      </w:r>
      <w:r w:rsidRPr="004F2C3E">
        <w:rPr>
          <w:rFonts w:ascii="Times New Roman" w:hAnsi="Times New Roman" w:cs="Times New Roman"/>
          <w:lang w:val="ru-RU"/>
        </w:rPr>
        <w:t>Анализ распределения методов лечения показал, что хотя у 21,27% пациентов применялась исключительно медикаментозная противосудорожная терапия, значительная доля больных получала комбинированное лечение, включая краниальную хирургию эпилепсии, что подчёркивает важность хирургических вмешательств при рефрактерных или сложных формах заболевания. Среди хирургических методов наиболее часто выполнялась резекция при фокальной кортикальной дисплазии (</w:t>
      </w:r>
      <w:r w:rsidRPr="004F2C3E">
        <w:rPr>
          <w:rFonts w:ascii="Times New Roman" w:hAnsi="Times New Roman" w:cs="Times New Roman"/>
          <w:lang w:val="en-US"/>
        </w:rPr>
        <w:t>FCD</w:t>
      </w:r>
      <w:r w:rsidRPr="004F2C3E">
        <w:rPr>
          <w:rFonts w:ascii="Times New Roman" w:hAnsi="Times New Roman" w:cs="Times New Roman"/>
          <w:lang w:val="ru-RU"/>
        </w:rPr>
        <w:t>) — 51,06%, что подтверждает её роль как одной из наиболее распространённых этиологических причин лекарственно-</w:t>
      </w:r>
      <w:r w:rsidRPr="004F2C3E">
        <w:rPr>
          <w:rFonts w:ascii="Times New Roman" w:hAnsi="Times New Roman" w:cs="Times New Roman"/>
          <w:lang w:val="ru-RU"/>
        </w:rPr>
        <w:lastRenderedPageBreak/>
        <w:t>резистентной фокальной эпилепсии. Применение стимуляции блуждающего нерва (</w:t>
      </w:r>
      <w:r w:rsidRPr="004F2C3E">
        <w:rPr>
          <w:rFonts w:ascii="Times New Roman" w:hAnsi="Times New Roman" w:cs="Times New Roman"/>
          <w:lang w:val="en-US"/>
        </w:rPr>
        <w:t>VNS</w:t>
      </w:r>
      <w:r w:rsidRPr="004F2C3E">
        <w:rPr>
          <w:rFonts w:ascii="Times New Roman" w:hAnsi="Times New Roman" w:cs="Times New Roman"/>
          <w:lang w:val="ru-RU"/>
        </w:rPr>
        <w:t xml:space="preserve">) и </w:t>
      </w:r>
      <w:proofErr w:type="spellStart"/>
      <w:r w:rsidRPr="004F2C3E">
        <w:rPr>
          <w:rFonts w:ascii="Times New Roman" w:hAnsi="Times New Roman" w:cs="Times New Roman"/>
          <w:lang w:val="ru-RU"/>
        </w:rPr>
        <w:t>каллозотомии</w:t>
      </w:r>
      <w:proofErr w:type="spellEnd"/>
      <w:r w:rsidRPr="004F2C3E">
        <w:rPr>
          <w:rFonts w:ascii="Times New Roman" w:hAnsi="Times New Roman" w:cs="Times New Roman"/>
          <w:lang w:val="ru-RU"/>
        </w:rPr>
        <w:t>, хотя и встречалось реже, отражает индивидуализированный подход к лечению пациентов с диффузными или многоочаговыми эпилептическими сетями либо в случаях, когда резекционная хирургия невозможна.</w:t>
      </w:r>
      <w:r>
        <w:rPr>
          <w:rFonts w:ascii="Times New Roman" w:hAnsi="Times New Roman" w:cs="Times New Roman"/>
          <w:lang w:val="ru-RU"/>
        </w:rPr>
        <w:t xml:space="preserve"> </w:t>
      </w:r>
      <w:r w:rsidRPr="004F2C3E">
        <w:rPr>
          <w:rFonts w:ascii="Times New Roman" w:hAnsi="Times New Roman" w:cs="Times New Roman"/>
          <w:lang w:val="ru-RU"/>
        </w:rPr>
        <w:t xml:space="preserve">Оценка исходов приступов по классификации Энгеля показала, что более половины пациентов достигли класса </w:t>
      </w:r>
      <w:r w:rsidRPr="004F2C3E">
        <w:rPr>
          <w:rFonts w:ascii="Times New Roman" w:hAnsi="Times New Roman" w:cs="Times New Roman"/>
          <w:lang w:val="en-US"/>
        </w:rPr>
        <w:t>Engel</w:t>
      </w:r>
      <w:r w:rsidRPr="004F2C3E">
        <w:rPr>
          <w:rFonts w:ascii="Times New Roman" w:hAnsi="Times New Roman" w:cs="Times New Roman"/>
          <w:lang w:val="ru-RU"/>
        </w:rPr>
        <w:t xml:space="preserve"> </w:t>
      </w:r>
      <w:r w:rsidRPr="004F2C3E">
        <w:rPr>
          <w:rFonts w:ascii="Times New Roman" w:hAnsi="Times New Roman" w:cs="Times New Roman"/>
          <w:lang w:val="en-US"/>
        </w:rPr>
        <w:t>I</w:t>
      </w:r>
      <w:r w:rsidRPr="004F2C3E">
        <w:rPr>
          <w:rFonts w:ascii="Times New Roman" w:hAnsi="Times New Roman" w:cs="Times New Roman"/>
          <w:lang w:val="ru-RU"/>
        </w:rPr>
        <w:t xml:space="preserve"> (полная или почти полная свобода от приступов), что свидетельствует о высокой эффективности хирургических методов лечения. Кроме того, у 40,68% пациентов был достигнут класс </w:t>
      </w:r>
      <w:r w:rsidRPr="004F2C3E">
        <w:rPr>
          <w:rFonts w:ascii="Times New Roman" w:hAnsi="Times New Roman" w:cs="Times New Roman"/>
          <w:lang w:val="en-US"/>
        </w:rPr>
        <w:t>Engel</w:t>
      </w:r>
      <w:r w:rsidRPr="004F2C3E">
        <w:rPr>
          <w:rFonts w:ascii="Times New Roman" w:hAnsi="Times New Roman" w:cs="Times New Roman"/>
          <w:lang w:val="ru-RU"/>
        </w:rPr>
        <w:t xml:space="preserve"> </w:t>
      </w:r>
      <w:r w:rsidRPr="004F2C3E">
        <w:rPr>
          <w:rFonts w:ascii="Times New Roman" w:hAnsi="Times New Roman" w:cs="Times New Roman"/>
          <w:lang w:val="en-US"/>
        </w:rPr>
        <w:t>II</w:t>
      </w:r>
      <w:r w:rsidRPr="004F2C3E">
        <w:rPr>
          <w:rFonts w:ascii="Times New Roman" w:hAnsi="Times New Roman" w:cs="Times New Roman"/>
          <w:lang w:val="ru-RU"/>
        </w:rPr>
        <w:t xml:space="preserve">, указывающий на значительное клиническое улучшение, и лишь у небольшой части больных (6,2%) сохранялись приступы, соответствующие классу </w:t>
      </w:r>
      <w:r w:rsidRPr="004F2C3E">
        <w:rPr>
          <w:rFonts w:ascii="Times New Roman" w:hAnsi="Times New Roman" w:cs="Times New Roman"/>
          <w:lang w:val="en-US"/>
        </w:rPr>
        <w:t>Engel</w:t>
      </w:r>
      <w:r w:rsidRPr="004F2C3E">
        <w:rPr>
          <w:rFonts w:ascii="Times New Roman" w:hAnsi="Times New Roman" w:cs="Times New Roman"/>
          <w:lang w:val="ru-RU"/>
        </w:rPr>
        <w:t xml:space="preserve"> </w:t>
      </w:r>
      <w:r w:rsidRPr="004F2C3E">
        <w:rPr>
          <w:rFonts w:ascii="Times New Roman" w:hAnsi="Times New Roman" w:cs="Times New Roman"/>
          <w:lang w:val="en-US"/>
        </w:rPr>
        <w:t>IV</w:t>
      </w:r>
      <w:r w:rsidRPr="004F2C3E">
        <w:rPr>
          <w:rFonts w:ascii="Times New Roman" w:hAnsi="Times New Roman" w:cs="Times New Roman"/>
          <w:lang w:val="ru-RU"/>
        </w:rPr>
        <w:t>, несмотря на проведённое вмешательство.</w:t>
      </w:r>
      <w:r>
        <w:rPr>
          <w:rFonts w:ascii="Times New Roman" w:hAnsi="Times New Roman" w:cs="Times New Roman"/>
          <w:lang w:val="ru-RU"/>
        </w:rPr>
        <w:t xml:space="preserve"> </w:t>
      </w:r>
      <w:r w:rsidRPr="004F2C3E">
        <w:rPr>
          <w:rFonts w:ascii="Times New Roman" w:hAnsi="Times New Roman" w:cs="Times New Roman"/>
          <w:lang w:val="ru-RU"/>
        </w:rPr>
        <w:t xml:space="preserve">Полученные результаты согласуются с данными предыдущих исследований, подчёркивающих роль хирургического лечения эпилепсии в улучшении контроля приступов и качества жизни у детей. Относительно высокая эффективность в данной когорте поддерживает целесообразность раннего рассмотрения хирургических вариантов лечения у соответствующих кандидатов. В то же время вариабельность исходов указывает на необходимость индивидуализации терапевтических стратегий и дальнейших исследований факторов, предсказывающих успех хирургического лечения. К ограничениям настоящего исследования относятся ретроспективный дизайн и относительно небольшой размер выборки, что может ограничивать </w:t>
      </w:r>
      <w:proofErr w:type="spellStart"/>
      <w:r w:rsidRPr="004F2C3E">
        <w:rPr>
          <w:rFonts w:ascii="Times New Roman" w:hAnsi="Times New Roman" w:cs="Times New Roman"/>
          <w:lang w:val="ru-RU"/>
        </w:rPr>
        <w:t>обобщаемость</w:t>
      </w:r>
      <w:proofErr w:type="spellEnd"/>
      <w:r w:rsidRPr="004F2C3E">
        <w:rPr>
          <w:rFonts w:ascii="Times New Roman" w:hAnsi="Times New Roman" w:cs="Times New Roman"/>
          <w:lang w:val="ru-RU"/>
        </w:rPr>
        <w:t xml:space="preserve"> полученных результатов. В будущем необходимы проспективные исследования с большими когортами и более длительными периодами наблюдения для лучшего понимания отдалённых исходов и оптимизации лечебных протоколов.</w:t>
      </w:r>
    </w:p>
    <w:p w:rsidR="004F2C3E" w:rsidRPr="004F2C3E" w:rsidRDefault="004F2C3E" w:rsidP="004F2C3E">
      <w:pPr>
        <w:spacing w:line="360" w:lineRule="auto"/>
        <w:jc w:val="both"/>
        <w:rPr>
          <w:rFonts w:ascii="Times New Roman" w:hAnsi="Times New Roman" w:cs="Times New Roman"/>
          <w:lang w:val="ru-RU"/>
        </w:rPr>
      </w:pPr>
      <w:r w:rsidRPr="004F2C3E">
        <w:rPr>
          <w:rFonts w:ascii="Times New Roman" w:hAnsi="Times New Roman" w:cs="Times New Roman"/>
          <w:b/>
          <w:bCs/>
          <w:lang w:val="ru-RU"/>
        </w:rPr>
        <w:t>Заключение.</w:t>
      </w:r>
      <w:r>
        <w:rPr>
          <w:rFonts w:ascii="Times New Roman" w:hAnsi="Times New Roman" w:cs="Times New Roman"/>
          <w:b/>
          <w:bCs/>
          <w:lang w:val="ru-RU"/>
        </w:rPr>
        <w:t xml:space="preserve"> </w:t>
      </w:r>
      <w:r w:rsidRPr="004F2C3E">
        <w:rPr>
          <w:rFonts w:ascii="Times New Roman" w:hAnsi="Times New Roman" w:cs="Times New Roman"/>
          <w:lang w:val="ru-RU"/>
        </w:rPr>
        <w:t xml:space="preserve">Данное </w:t>
      </w:r>
      <w:proofErr w:type="spellStart"/>
      <w:r w:rsidRPr="004F2C3E">
        <w:rPr>
          <w:rFonts w:ascii="Times New Roman" w:hAnsi="Times New Roman" w:cs="Times New Roman"/>
          <w:lang w:val="ru-RU"/>
        </w:rPr>
        <w:t>одноцентровое</w:t>
      </w:r>
      <w:proofErr w:type="spellEnd"/>
      <w:r w:rsidRPr="004F2C3E">
        <w:rPr>
          <w:rFonts w:ascii="Times New Roman" w:hAnsi="Times New Roman" w:cs="Times New Roman"/>
          <w:lang w:val="ru-RU"/>
        </w:rPr>
        <w:t xml:space="preserve"> исследование, проведённое в Национальном детском медицинском центре в Ташкенте (Узбекистан), показало, что у педиатрических пациентов с лекарственно-резистентной эпилепсией (ЛРЭ), которым были выполнены хирургические вмешательства — фокальная кортикальная резекция, </w:t>
      </w:r>
      <w:proofErr w:type="spellStart"/>
      <w:r w:rsidRPr="004F2C3E">
        <w:rPr>
          <w:rFonts w:ascii="Times New Roman" w:hAnsi="Times New Roman" w:cs="Times New Roman"/>
          <w:lang w:val="ru-RU"/>
        </w:rPr>
        <w:t>каллозотомия</w:t>
      </w:r>
      <w:proofErr w:type="spellEnd"/>
      <w:r w:rsidRPr="004F2C3E">
        <w:rPr>
          <w:rFonts w:ascii="Times New Roman" w:hAnsi="Times New Roman" w:cs="Times New Roman"/>
          <w:lang w:val="ru-RU"/>
        </w:rPr>
        <w:t xml:space="preserve">, функциональная </w:t>
      </w:r>
      <w:proofErr w:type="spellStart"/>
      <w:r w:rsidRPr="004F2C3E">
        <w:rPr>
          <w:rFonts w:ascii="Times New Roman" w:hAnsi="Times New Roman" w:cs="Times New Roman"/>
          <w:lang w:val="ru-RU"/>
        </w:rPr>
        <w:t>гемисферотомия</w:t>
      </w:r>
      <w:proofErr w:type="spellEnd"/>
      <w:r w:rsidRPr="004F2C3E">
        <w:rPr>
          <w:rFonts w:ascii="Times New Roman" w:hAnsi="Times New Roman" w:cs="Times New Roman"/>
          <w:lang w:val="ru-RU"/>
        </w:rPr>
        <w:t xml:space="preserve"> или стимуляция блуждающего нерва, — результаты контроля приступов были значительно лучше по сравнению с пациентами, получавшими только противосудорожную медикаментозную терапию (</w:t>
      </w:r>
      <w:r w:rsidRPr="004F2C3E">
        <w:rPr>
          <w:rFonts w:ascii="Times New Roman" w:hAnsi="Times New Roman" w:cs="Times New Roman"/>
          <w:lang w:val="en-US"/>
        </w:rPr>
        <w:t>ASMs</w:t>
      </w:r>
      <w:r w:rsidRPr="004F2C3E">
        <w:rPr>
          <w:rFonts w:ascii="Times New Roman" w:hAnsi="Times New Roman" w:cs="Times New Roman"/>
          <w:lang w:val="ru-RU"/>
        </w:rPr>
        <w:t>).</w:t>
      </w:r>
      <w:r>
        <w:rPr>
          <w:rFonts w:ascii="Times New Roman" w:hAnsi="Times New Roman" w:cs="Times New Roman"/>
          <w:lang w:val="ru-RU"/>
        </w:rPr>
        <w:t xml:space="preserve"> </w:t>
      </w:r>
      <w:r w:rsidRPr="004F2C3E">
        <w:rPr>
          <w:rFonts w:ascii="Times New Roman" w:hAnsi="Times New Roman" w:cs="Times New Roman"/>
          <w:lang w:val="ru-RU"/>
        </w:rPr>
        <w:t xml:space="preserve">Согласно классификации Энгеля, более половины прооперированных пациентов (53,12%) достигли полной свободы от приступов (класс </w:t>
      </w:r>
      <w:r w:rsidRPr="004F2C3E">
        <w:rPr>
          <w:rFonts w:ascii="Times New Roman" w:hAnsi="Times New Roman" w:cs="Times New Roman"/>
          <w:lang w:val="en-US"/>
        </w:rPr>
        <w:t>I</w:t>
      </w:r>
      <w:r w:rsidRPr="004F2C3E">
        <w:rPr>
          <w:rFonts w:ascii="Times New Roman" w:hAnsi="Times New Roman" w:cs="Times New Roman"/>
          <w:lang w:val="ru-RU"/>
        </w:rPr>
        <w:t xml:space="preserve">), тогда как ещё у 40,68% было отмечено клинически значимое улучшение (класс </w:t>
      </w:r>
      <w:r w:rsidRPr="004F2C3E">
        <w:rPr>
          <w:rFonts w:ascii="Times New Roman" w:hAnsi="Times New Roman" w:cs="Times New Roman"/>
          <w:lang w:val="en-US"/>
        </w:rPr>
        <w:t>II</w:t>
      </w:r>
      <w:r w:rsidRPr="004F2C3E">
        <w:rPr>
          <w:rFonts w:ascii="Times New Roman" w:hAnsi="Times New Roman" w:cs="Times New Roman"/>
          <w:lang w:val="ru-RU"/>
        </w:rPr>
        <w:t xml:space="preserve">), что подтверждает эффективность хирургического лечения в данной популяции. Полученные данные подчёркивают </w:t>
      </w:r>
      <w:r w:rsidRPr="004F2C3E">
        <w:rPr>
          <w:rFonts w:ascii="Times New Roman" w:hAnsi="Times New Roman" w:cs="Times New Roman"/>
          <w:lang w:val="ru-RU"/>
        </w:rPr>
        <w:lastRenderedPageBreak/>
        <w:t>важность раннего выявления и своевременного направления педиатрических пациентов с ЛРЭ на хирургическое обследование.</w:t>
      </w:r>
      <w:r>
        <w:rPr>
          <w:rFonts w:ascii="Times New Roman" w:hAnsi="Times New Roman" w:cs="Times New Roman"/>
          <w:lang w:val="ru-RU"/>
        </w:rPr>
        <w:t xml:space="preserve"> </w:t>
      </w:r>
      <w:r w:rsidRPr="004F2C3E">
        <w:rPr>
          <w:rFonts w:ascii="Times New Roman" w:hAnsi="Times New Roman" w:cs="Times New Roman"/>
          <w:lang w:val="ru-RU"/>
        </w:rPr>
        <w:t>Несмотря на относительно высокий уровень направления на хирургическое лечение в данной когорте (72,34%), сохраняются различия в доступе к медицинской помощи, особенно в отношении современных методов лечения, таких как стимуляция блуждающего нерва. Результаты также подтверждают, что, хотя резекционные вмешательства на головном мозге могут сопровождаться развитием неврологических дефицитов, общий эффект в виде улучшения контроля приступов и повышения качества жизни убедительно свидетельствует в пользу хирургического лечения при правильном отборе пациентов. Для подтверждения полученных выводов, оптимизации практики направления пациентов и сокращения неравенства в доступе к хирургии эпилепсии необходимы дальнейшие многоцентровые проспективные исследования с более крупными выборками.</w:t>
      </w:r>
    </w:p>
    <w:p w:rsidR="004F2C3E" w:rsidRPr="004F2C3E" w:rsidRDefault="004F2C3E" w:rsidP="00104177">
      <w:pPr>
        <w:spacing w:line="360" w:lineRule="auto"/>
        <w:jc w:val="center"/>
        <w:rPr>
          <w:rFonts w:ascii="Times New Roman" w:hAnsi="Times New Roman" w:cs="Times New Roman"/>
          <w:b/>
          <w:bCs/>
          <w:lang w:val="ru-RU"/>
        </w:rPr>
      </w:pPr>
      <w:r w:rsidRPr="004F2C3E">
        <w:rPr>
          <w:rFonts w:ascii="Times New Roman" w:hAnsi="Times New Roman" w:cs="Times New Roman"/>
          <w:b/>
          <w:bCs/>
        </w:rPr>
        <w:t>Список литературы</w:t>
      </w:r>
    </w:p>
    <w:p w:rsidR="00B62202" w:rsidRPr="00C57C34" w:rsidRDefault="00B62202" w:rsidP="00104177">
      <w:pPr>
        <w:pStyle w:val="ListParagraph"/>
        <w:numPr>
          <w:ilvl w:val="0"/>
          <w:numId w:val="2"/>
        </w:numPr>
        <w:spacing w:line="360" w:lineRule="auto"/>
        <w:jc w:val="both"/>
        <w:rPr>
          <w:rFonts w:ascii="Times New Roman" w:hAnsi="Times New Roman" w:cs="Times New Roman"/>
        </w:rPr>
      </w:pPr>
      <w:hyperlink r:id="rId7" w:history="1">
        <w:r w:rsidRPr="00C57C34">
          <w:rPr>
            <w:rStyle w:val="Hyperlink"/>
            <w:rFonts w:ascii="Times New Roman" w:hAnsi="Times New Roman" w:cs="Times New Roman"/>
          </w:rPr>
          <w:t>https://www.ilae.org/files/ilaeGuideline/Definition-of-Drug-Resistant-Epilepsy-2009-1528-1167.2009.02397</w:t>
        </w:r>
      </w:hyperlink>
    </w:p>
    <w:p w:rsidR="00B62202" w:rsidRPr="00C57C34" w:rsidRDefault="00B62202" w:rsidP="00104177">
      <w:pPr>
        <w:pStyle w:val="ListParagraph"/>
        <w:numPr>
          <w:ilvl w:val="0"/>
          <w:numId w:val="2"/>
        </w:numPr>
        <w:spacing w:line="360" w:lineRule="auto"/>
        <w:jc w:val="both"/>
        <w:rPr>
          <w:rFonts w:ascii="Times New Roman" w:hAnsi="Times New Roman" w:cs="Times New Roman"/>
        </w:rPr>
      </w:pPr>
      <w:r w:rsidRPr="00C57C34">
        <w:rPr>
          <w:rFonts w:ascii="Times New Roman" w:hAnsi="Times New Roman" w:cs="Times New Roman"/>
        </w:rPr>
        <w:t>P. Kwan, A. Arzimanoglou, A.T. Berg, M.J. Brodie, W. Allen Hauser, G. Mathern, et al.</w:t>
      </w:r>
    </w:p>
    <w:p w:rsidR="00B62202" w:rsidRPr="00C57C34" w:rsidRDefault="00B62202" w:rsidP="00104177">
      <w:pPr>
        <w:pStyle w:val="ListParagraph"/>
        <w:spacing w:line="360" w:lineRule="auto"/>
        <w:jc w:val="both"/>
        <w:rPr>
          <w:rFonts w:ascii="Times New Roman" w:hAnsi="Times New Roman" w:cs="Times New Roman"/>
        </w:rPr>
      </w:pPr>
      <w:r w:rsidRPr="00C57C34">
        <w:rPr>
          <w:rFonts w:ascii="Times New Roman" w:hAnsi="Times New Roman" w:cs="Times New Roman"/>
        </w:rPr>
        <w:t>Definition of drug resistant epilepsy: consensus proposal by the ad hoc Task Force of the ILAE Commission on Therapeutic Strategies.</w:t>
      </w:r>
      <w:r w:rsidR="00EF7E5C" w:rsidRPr="00C57C34">
        <w:rPr>
          <w:rFonts w:ascii="Times New Roman" w:hAnsi="Times New Roman" w:cs="Times New Roman"/>
        </w:rPr>
        <w:t xml:space="preserve"> </w:t>
      </w:r>
      <w:r w:rsidRPr="00C57C34">
        <w:rPr>
          <w:rFonts w:ascii="Times New Roman" w:hAnsi="Times New Roman" w:cs="Times New Roman"/>
        </w:rPr>
        <w:t>Epilepsia, 51 (2010), pp. 1069-1077</w:t>
      </w:r>
    </w:p>
    <w:p w:rsidR="00EF7E5C" w:rsidRPr="00C57C34" w:rsidRDefault="00EF7E5C" w:rsidP="00104177">
      <w:pPr>
        <w:pStyle w:val="ListParagraph"/>
        <w:numPr>
          <w:ilvl w:val="0"/>
          <w:numId w:val="2"/>
        </w:numPr>
        <w:spacing w:line="360" w:lineRule="auto"/>
        <w:jc w:val="both"/>
        <w:rPr>
          <w:rFonts w:ascii="Times New Roman" w:hAnsi="Times New Roman" w:cs="Times New Roman"/>
        </w:rPr>
      </w:pPr>
      <w:r w:rsidRPr="00C57C34">
        <w:rPr>
          <w:rFonts w:ascii="Times New Roman" w:hAnsi="Times New Roman" w:cs="Times New Roman"/>
        </w:rPr>
        <w:t>Murray GJ. Global Comparative Assessments in the Health Sector: Disease Burden.Expenditure, Intervention Packages; 1994, Curr Neuropharmacol. 2018 Jan.</w:t>
      </w:r>
    </w:p>
    <w:p w:rsidR="00EF7E5C" w:rsidRPr="00C57C34" w:rsidRDefault="00EF7E5C" w:rsidP="00104177">
      <w:pPr>
        <w:pStyle w:val="ListParagraph"/>
        <w:numPr>
          <w:ilvl w:val="0"/>
          <w:numId w:val="2"/>
        </w:numPr>
        <w:spacing w:line="360" w:lineRule="auto"/>
        <w:jc w:val="both"/>
        <w:rPr>
          <w:rFonts w:ascii="Times New Roman" w:hAnsi="Times New Roman" w:cs="Times New Roman"/>
        </w:rPr>
      </w:pPr>
      <w:r w:rsidRPr="00C57C34">
        <w:rPr>
          <w:rFonts w:ascii="Times New Roman" w:hAnsi="Times New Roman" w:cs="Times New Roman"/>
        </w:rPr>
        <w:t>Kwan P and Brodie MJ. Early identification of refractory epilepsy. New England Journal of Medicine. 2000; 342(5):314-9.</w:t>
      </w:r>
    </w:p>
    <w:p w:rsidR="00EF7E5C" w:rsidRPr="00C57C34" w:rsidRDefault="00EF7E5C" w:rsidP="00104177">
      <w:pPr>
        <w:pStyle w:val="ListParagraph"/>
        <w:numPr>
          <w:ilvl w:val="0"/>
          <w:numId w:val="2"/>
        </w:numPr>
        <w:spacing w:line="360" w:lineRule="auto"/>
        <w:jc w:val="both"/>
        <w:rPr>
          <w:rFonts w:ascii="Times New Roman" w:hAnsi="Times New Roman" w:cs="Times New Roman"/>
        </w:rPr>
      </w:pPr>
      <w:hyperlink r:id="rId8" w:history="1">
        <w:r w:rsidRPr="00C57C34">
          <w:rPr>
            <w:rStyle w:val="Hyperlink"/>
            <w:rFonts w:ascii="Times New Roman" w:hAnsi="Times New Roman" w:cs="Times New Roman"/>
          </w:rPr>
          <w:t>https://aimj.researchcommons.org/cgi/viewcontent.cgi?article=1025&amp;context=journal</w:t>
        </w:r>
      </w:hyperlink>
    </w:p>
    <w:p w:rsidR="00EF7E5C" w:rsidRPr="00C57C34" w:rsidRDefault="00992EDD" w:rsidP="00104177">
      <w:pPr>
        <w:pStyle w:val="ListParagraph"/>
        <w:numPr>
          <w:ilvl w:val="0"/>
          <w:numId w:val="2"/>
        </w:numPr>
        <w:spacing w:line="360" w:lineRule="auto"/>
        <w:jc w:val="both"/>
        <w:rPr>
          <w:rFonts w:ascii="Times New Roman" w:hAnsi="Times New Roman" w:cs="Times New Roman"/>
        </w:rPr>
      </w:pPr>
      <w:r w:rsidRPr="00C57C34">
        <w:rPr>
          <w:rFonts w:ascii="Times New Roman" w:hAnsi="Times New Roman" w:cs="Times New Roman"/>
        </w:rPr>
        <w:t>Brodie MJ and Kwan P. Staged approach to epilepsy management. Neurology. 2002; 58(8):S2-8.</w:t>
      </w:r>
    </w:p>
    <w:p w:rsidR="00C71CE9" w:rsidRPr="00C57C34" w:rsidRDefault="00C71CE9" w:rsidP="00104177">
      <w:pPr>
        <w:pStyle w:val="ListParagraph"/>
        <w:numPr>
          <w:ilvl w:val="0"/>
          <w:numId w:val="2"/>
        </w:numPr>
        <w:spacing w:line="360" w:lineRule="auto"/>
        <w:jc w:val="both"/>
        <w:rPr>
          <w:rFonts w:ascii="Times New Roman" w:hAnsi="Times New Roman" w:cs="Times New Roman"/>
        </w:rPr>
      </w:pPr>
      <w:r w:rsidRPr="00C57C34">
        <w:rPr>
          <w:rFonts w:ascii="Times New Roman" w:hAnsi="Times New Roman" w:cs="Times New Roman"/>
        </w:rPr>
        <w:t>Löscher W., Luna-Tortós C., Römermann K., Fedrowitz M. Do ATP-binding cassette transporters cause pharmacoresistance in epilepsy? Problems and approaches in determining which antiepileptic drugs are affected. Curr. Pharm. Des. 2011;17(26):2808–2828. doi: 10.2174/138161211797440212. [http://dx.doi.org/10.2174/138161211797440212]. [PMID: 21827408].</w:t>
      </w:r>
    </w:p>
    <w:p w:rsidR="00C71CE9" w:rsidRPr="00C57C34" w:rsidRDefault="00C71CE9" w:rsidP="00104177">
      <w:pPr>
        <w:pStyle w:val="ListParagraph"/>
        <w:numPr>
          <w:ilvl w:val="0"/>
          <w:numId w:val="2"/>
        </w:numPr>
        <w:spacing w:line="360" w:lineRule="auto"/>
        <w:jc w:val="both"/>
        <w:rPr>
          <w:rFonts w:ascii="Times New Roman" w:hAnsi="Times New Roman" w:cs="Times New Roman"/>
        </w:rPr>
      </w:pPr>
      <w:r w:rsidRPr="00C57C34">
        <w:rPr>
          <w:rFonts w:ascii="Times New Roman" w:hAnsi="Times New Roman" w:cs="Times New Roman"/>
        </w:rPr>
        <w:t xml:space="preserve">Margineanu D.G., Klitgaard H. Mechanisms of drug resistance in epilepsy: relevance for antiepileptic drug discovery. Expert Opin. Drug Discov. 2009;4(1):23–32. doi: </w:t>
      </w:r>
      <w:r w:rsidRPr="00C57C34">
        <w:rPr>
          <w:rFonts w:ascii="Times New Roman" w:hAnsi="Times New Roman" w:cs="Times New Roman"/>
        </w:rPr>
        <w:lastRenderedPageBreak/>
        <w:t>10.1517/17460440802611729. [http://dx.doi.org/10.1517/ 17460440802611729]. [PMID: 23480334].</w:t>
      </w:r>
    </w:p>
    <w:p w:rsidR="00C71CE9" w:rsidRPr="00C57C34" w:rsidRDefault="00C71CE9" w:rsidP="00104177">
      <w:pPr>
        <w:pStyle w:val="ListParagraph"/>
        <w:numPr>
          <w:ilvl w:val="0"/>
          <w:numId w:val="2"/>
        </w:numPr>
        <w:spacing w:line="360" w:lineRule="auto"/>
        <w:jc w:val="both"/>
        <w:rPr>
          <w:rFonts w:ascii="Times New Roman" w:hAnsi="Times New Roman" w:cs="Times New Roman"/>
        </w:rPr>
      </w:pPr>
      <w:r w:rsidRPr="00C57C34">
        <w:rPr>
          <w:rFonts w:ascii="Times New Roman" w:hAnsi="Times New Roman" w:cs="Times New Roman"/>
        </w:rPr>
        <w:t>Salvamoser J.D., Avemary J., Luna-Munguia H., Pascher B., Getzinger T., Pieper T., Kudernatsch M., Kluger G., Potschka H. Glutamate-mediated down-regulation of the multidrug-resistance protein BCRP/ABCG2 in porcine and human brain capillaries. Mol. Pharm. 2015;12(6):2049–2060. doi: 10.1021/mp500841w. [http://dx.doi.org/ 10.1021/mp500841w]. [PMID: 25898179]. </w:t>
      </w:r>
    </w:p>
    <w:p w:rsidR="00731BA5" w:rsidRPr="00C57C34" w:rsidRDefault="00731BA5" w:rsidP="00104177">
      <w:pPr>
        <w:pStyle w:val="ListParagraph"/>
        <w:numPr>
          <w:ilvl w:val="0"/>
          <w:numId w:val="2"/>
        </w:numPr>
        <w:spacing w:line="360" w:lineRule="auto"/>
        <w:jc w:val="both"/>
        <w:rPr>
          <w:rFonts w:ascii="Times New Roman" w:hAnsi="Times New Roman" w:cs="Times New Roman"/>
        </w:rPr>
      </w:pPr>
      <w:r w:rsidRPr="00C57C34">
        <w:rPr>
          <w:rFonts w:ascii="Times New Roman" w:hAnsi="Times New Roman" w:cs="Times New Roman"/>
        </w:rPr>
        <w:t>Remy S., Beck H. Molecular and cellular mechanisms of pharmacoresistance in epilepsy. Brain. 2006;129(Pt 1):18–35. doi: 10.1093/brain/awh682. [http://dx. doi.org/10.1093/brain/awh682]. [PMID: 16317026].</w:t>
      </w:r>
    </w:p>
    <w:p w:rsidR="00731BA5" w:rsidRPr="00C57C34" w:rsidRDefault="00731BA5" w:rsidP="00104177">
      <w:pPr>
        <w:pStyle w:val="ListParagraph"/>
        <w:numPr>
          <w:ilvl w:val="0"/>
          <w:numId w:val="2"/>
        </w:numPr>
        <w:spacing w:line="360" w:lineRule="auto"/>
        <w:jc w:val="both"/>
        <w:rPr>
          <w:rFonts w:ascii="Times New Roman" w:hAnsi="Times New Roman" w:cs="Times New Roman"/>
        </w:rPr>
      </w:pPr>
      <w:r w:rsidRPr="00C57C34">
        <w:rPr>
          <w:rFonts w:ascii="Times New Roman" w:hAnsi="Times New Roman" w:cs="Times New Roman"/>
        </w:rPr>
        <w:t>Löscher W., Potschka H. Drug resistance in brain diseases and the role of drug efflux transporters. Nat. Rev. Neurosci. 2005;6(8):591–602. doi: 10.1038/nrn1728. [http://dx.doi.org/10.1038/nrn1728]. [PMID: 16025095].</w:t>
      </w:r>
    </w:p>
    <w:p w:rsidR="00731BA5" w:rsidRPr="00C57C34" w:rsidRDefault="00731BA5" w:rsidP="00104177">
      <w:pPr>
        <w:pStyle w:val="ListParagraph"/>
        <w:numPr>
          <w:ilvl w:val="0"/>
          <w:numId w:val="2"/>
        </w:numPr>
        <w:spacing w:line="360" w:lineRule="auto"/>
        <w:jc w:val="both"/>
        <w:rPr>
          <w:rFonts w:ascii="Times New Roman" w:hAnsi="Times New Roman" w:cs="Times New Roman"/>
        </w:rPr>
      </w:pPr>
      <w:r w:rsidRPr="00C57C34">
        <w:rPr>
          <w:rFonts w:ascii="Times New Roman" w:hAnsi="Times New Roman" w:cs="Times New Roman"/>
        </w:rPr>
        <w:t>Römermann K., Helmer R., Löscher W. The antiepileptic drug lamotrigine is a substrate of mouse and human breast cancer resistance protein (ABCG2). Neuropharmacology. 2015;93:7–14. doi: 10.1016/j.neuropharm.2015.01.015. [http://dx.doi.org/10.1016/j.neuropharm.2015.01.015]. [PMID: 25645391].</w:t>
      </w:r>
    </w:p>
    <w:p w:rsidR="00731BA5" w:rsidRPr="00C57C34" w:rsidRDefault="00731BA5" w:rsidP="00104177">
      <w:pPr>
        <w:pStyle w:val="ListParagraph"/>
        <w:numPr>
          <w:ilvl w:val="0"/>
          <w:numId w:val="2"/>
        </w:numPr>
        <w:spacing w:line="360" w:lineRule="auto"/>
        <w:jc w:val="both"/>
        <w:rPr>
          <w:rFonts w:ascii="Times New Roman" w:hAnsi="Times New Roman" w:cs="Times New Roman"/>
        </w:rPr>
      </w:pPr>
      <w:r w:rsidRPr="00C57C34">
        <w:rPr>
          <w:rFonts w:ascii="Times New Roman" w:hAnsi="Times New Roman" w:cs="Times New Roman"/>
        </w:rPr>
        <w:t>Koubeissi M. Neuropathology of the blood-brain barrier in epilepsy: support to the transport hypothesis of pharmacoresistance. Epilepsy Curr. 2013;13(4):169–171. doi: 10.5698/1535-7597-13.4.169. [http://dx.doi.org/10.5698/ 1535-7597-13.4.169]. [PMID: 24009480].</w:t>
      </w:r>
    </w:p>
    <w:p w:rsidR="00731BA5" w:rsidRPr="00C57C34" w:rsidRDefault="00731BA5" w:rsidP="00104177">
      <w:pPr>
        <w:pStyle w:val="ListParagraph"/>
        <w:numPr>
          <w:ilvl w:val="0"/>
          <w:numId w:val="2"/>
        </w:numPr>
        <w:spacing w:line="360" w:lineRule="auto"/>
        <w:jc w:val="both"/>
        <w:rPr>
          <w:rFonts w:ascii="Times New Roman" w:hAnsi="Times New Roman" w:cs="Times New Roman"/>
        </w:rPr>
      </w:pPr>
      <w:r w:rsidRPr="00C57C34">
        <w:rPr>
          <w:rFonts w:ascii="Times New Roman" w:hAnsi="Times New Roman" w:cs="Times New Roman"/>
        </w:rPr>
        <w:t>Rogawski M.A., Löscher W. The neurobiology of antiepileptic drugs. Nat. Rev. Neurosci. 2004;5(7):553–564. doi: 10.1038/nrn1430. [http://dx.doi.org/ 10.1038/nrn1430]. [PMID: 15208697].</w:t>
      </w:r>
    </w:p>
    <w:p w:rsidR="00731BA5" w:rsidRPr="00C57C34" w:rsidRDefault="00731BA5" w:rsidP="00104177">
      <w:pPr>
        <w:pStyle w:val="ListParagraph"/>
        <w:numPr>
          <w:ilvl w:val="0"/>
          <w:numId w:val="2"/>
        </w:numPr>
        <w:spacing w:line="360" w:lineRule="auto"/>
        <w:jc w:val="both"/>
        <w:rPr>
          <w:rFonts w:ascii="Times New Roman" w:hAnsi="Times New Roman" w:cs="Times New Roman"/>
        </w:rPr>
      </w:pPr>
      <w:r w:rsidRPr="00C57C34">
        <w:rPr>
          <w:rFonts w:ascii="Times New Roman" w:hAnsi="Times New Roman" w:cs="Times New Roman"/>
        </w:rPr>
        <w:t>Møller R.S., Schneider L.M., Hansen C.P., Bugge M., Ullmann R., Tommerup N., Tümer Z. Balanced translocation in a patient with severe myoclonic epilepsy of infancy disrupts the sodium channel gene SCN1A. Epilepsia. 2008;49(6):1091–1094. doi: 10.1111/j.1528-1167.2008.01550.x. [http:// dx.doi.org/10.1111/j.1528-1167.2008.01550.x]. [PMID: 18294202]. </w:t>
      </w:r>
    </w:p>
    <w:p w:rsidR="00731BA5" w:rsidRPr="00C57C34" w:rsidRDefault="00731BA5" w:rsidP="00104177">
      <w:pPr>
        <w:pStyle w:val="ListParagraph"/>
        <w:numPr>
          <w:ilvl w:val="0"/>
          <w:numId w:val="2"/>
        </w:numPr>
        <w:spacing w:line="360" w:lineRule="auto"/>
        <w:jc w:val="both"/>
        <w:rPr>
          <w:rFonts w:ascii="Times New Roman" w:hAnsi="Times New Roman" w:cs="Times New Roman"/>
        </w:rPr>
      </w:pPr>
      <w:r w:rsidRPr="00C57C34">
        <w:rPr>
          <w:rFonts w:ascii="Times New Roman" w:hAnsi="Times New Roman" w:cs="Times New Roman"/>
        </w:rPr>
        <w:t>Yu F.H., Mantegazza M., Westenbroek R.E., Robbins C.A., Kalume F., Burton K.A., Spain W.J., McKnight G.S., Scheuer T., Catterall W.A. Reduced sodium current in GABAergic interneurons in a mouse model of severe myoclonic epilepsy in infancy. Nat. Neurosci. 2006;9(9):1142–1149. doi: 10.1038/nn1754. [http://dx.doi.org/10. 1038/nn1754]. [PMID: 16921370].</w:t>
      </w:r>
    </w:p>
    <w:p w:rsidR="00731BA5" w:rsidRPr="00C57C34" w:rsidRDefault="00731BA5" w:rsidP="00104177">
      <w:pPr>
        <w:pStyle w:val="ListParagraph"/>
        <w:numPr>
          <w:ilvl w:val="0"/>
          <w:numId w:val="2"/>
        </w:numPr>
        <w:spacing w:line="360" w:lineRule="auto"/>
        <w:jc w:val="both"/>
        <w:rPr>
          <w:rFonts w:ascii="Times New Roman" w:hAnsi="Times New Roman" w:cs="Times New Roman"/>
        </w:rPr>
      </w:pPr>
      <w:r w:rsidRPr="00C57C34">
        <w:rPr>
          <w:rFonts w:ascii="Times New Roman" w:hAnsi="Times New Roman" w:cs="Times New Roman"/>
        </w:rPr>
        <w:lastRenderedPageBreak/>
        <w:t>Escayg A., Heils A., MacDonald B.T., Haug K., Sander T., Meisler M.H. A novel SCN1A mutation associated with generalized epilepsy with febrile seizures plus--and prevalence of variants in patients with epilepsy. Am. J. Hum. Genet. 2001;68(4):866–873. doi: 10.1086/319524. [http://dx.doi.org/10.1086/319524]. [PMID: 11254445].</w:t>
      </w:r>
    </w:p>
    <w:p w:rsidR="00EF7E5C" w:rsidRPr="00C57C34" w:rsidRDefault="00EF7E5C" w:rsidP="00104177">
      <w:pPr>
        <w:pStyle w:val="ListParagraph"/>
        <w:spacing w:line="360" w:lineRule="auto"/>
        <w:jc w:val="both"/>
        <w:rPr>
          <w:rFonts w:ascii="Times New Roman" w:hAnsi="Times New Roman" w:cs="Times New Roman"/>
        </w:rPr>
      </w:pPr>
    </w:p>
    <w:p w:rsidR="00725099" w:rsidRPr="00C57C34" w:rsidRDefault="00725099" w:rsidP="00104177">
      <w:pPr>
        <w:spacing w:line="360" w:lineRule="auto"/>
        <w:jc w:val="both"/>
        <w:rPr>
          <w:rFonts w:ascii="Times New Roman" w:hAnsi="Times New Roman" w:cs="Times New Roman"/>
          <w:b/>
          <w:bCs/>
        </w:rPr>
      </w:pPr>
    </w:p>
    <w:p w:rsidR="00725099" w:rsidRPr="00C57C34" w:rsidRDefault="00725099" w:rsidP="00104177">
      <w:pPr>
        <w:spacing w:line="360" w:lineRule="auto"/>
        <w:jc w:val="both"/>
        <w:rPr>
          <w:rFonts w:ascii="Times New Roman" w:hAnsi="Times New Roman" w:cs="Times New Roman"/>
        </w:rPr>
      </w:pPr>
    </w:p>
    <w:sectPr w:rsidR="00725099" w:rsidRPr="00C57C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0C0A" w:rsidRDefault="00290C0A" w:rsidP="00C57C34">
      <w:pPr>
        <w:spacing w:after="0" w:line="240" w:lineRule="auto"/>
      </w:pPr>
      <w:r>
        <w:separator/>
      </w:r>
    </w:p>
  </w:endnote>
  <w:endnote w:type="continuationSeparator" w:id="0">
    <w:p w:rsidR="00290C0A" w:rsidRDefault="00290C0A" w:rsidP="00C57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0C0A" w:rsidRDefault="00290C0A" w:rsidP="00C57C34">
      <w:pPr>
        <w:spacing w:after="0" w:line="240" w:lineRule="auto"/>
      </w:pPr>
      <w:r>
        <w:separator/>
      </w:r>
    </w:p>
  </w:footnote>
  <w:footnote w:type="continuationSeparator" w:id="0">
    <w:p w:rsidR="00290C0A" w:rsidRDefault="00290C0A" w:rsidP="00C57C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C21D8"/>
    <w:multiLevelType w:val="hybridMultilevel"/>
    <w:tmpl w:val="349EF2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E61078"/>
    <w:multiLevelType w:val="hybridMultilevel"/>
    <w:tmpl w:val="D4508EEE"/>
    <w:lvl w:ilvl="0" w:tplc="2C6ED9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8FD58E6"/>
    <w:multiLevelType w:val="hybridMultilevel"/>
    <w:tmpl w:val="1AC8E9D6"/>
    <w:lvl w:ilvl="0" w:tplc="9E4C781A">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5330406">
    <w:abstractNumId w:val="1"/>
  </w:num>
  <w:num w:numId="2" w16cid:durableId="721245950">
    <w:abstractNumId w:val="0"/>
  </w:num>
  <w:num w:numId="3" w16cid:durableId="1214803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66E"/>
    <w:rsid w:val="000B4CCE"/>
    <w:rsid w:val="000D366E"/>
    <w:rsid w:val="00104177"/>
    <w:rsid w:val="00260142"/>
    <w:rsid w:val="00290C0A"/>
    <w:rsid w:val="003A0801"/>
    <w:rsid w:val="0041510A"/>
    <w:rsid w:val="004B4FCC"/>
    <w:rsid w:val="004F2C3E"/>
    <w:rsid w:val="006904FF"/>
    <w:rsid w:val="00725099"/>
    <w:rsid w:val="00731BA5"/>
    <w:rsid w:val="00785C64"/>
    <w:rsid w:val="008F4006"/>
    <w:rsid w:val="00992EDD"/>
    <w:rsid w:val="00B62202"/>
    <w:rsid w:val="00BB1A89"/>
    <w:rsid w:val="00BD5C11"/>
    <w:rsid w:val="00C57C34"/>
    <w:rsid w:val="00C71CE9"/>
    <w:rsid w:val="00CC147C"/>
    <w:rsid w:val="00EF7E5C"/>
  </w:rsids>
  <m:mathPr>
    <m:mathFont m:val="Cambria Math"/>
    <m:brkBin m:val="before"/>
    <m:brkBinSub m:val="--"/>
    <m:smallFrac m:val="0"/>
    <m:dispDef/>
    <m:lMargin m:val="0"/>
    <m:rMargin m:val="0"/>
    <m:defJc m:val="centerGroup"/>
    <m:wrapIndent m:val="1440"/>
    <m:intLim m:val="subSup"/>
    <m:naryLim m:val="undOvr"/>
  </m:mathPr>
  <w:themeFontLang w:val="en-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BD424"/>
  <w15:chartTrackingRefBased/>
  <w15:docId w15:val="{447E383A-5B67-AA4F-B40C-6B7A5A288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099"/>
  </w:style>
  <w:style w:type="paragraph" w:styleId="Heading1">
    <w:name w:val="heading 1"/>
    <w:basedOn w:val="Normal"/>
    <w:next w:val="Normal"/>
    <w:link w:val="Heading1Char"/>
    <w:uiPriority w:val="9"/>
    <w:qFormat/>
    <w:rsid w:val="000D36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D36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D36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36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36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36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6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6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6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6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D36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D36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36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36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36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6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6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66E"/>
    <w:rPr>
      <w:rFonts w:eastAsiaTheme="majorEastAsia" w:cstheme="majorBidi"/>
      <w:color w:val="272727" w:themeColor="text1" w:themeTint="D8"/>
    </w:rPr>
  </w:style>
  <w:style w:type="paragraph" w:styleId="Title">
    <w:name w:val="Title"/>
    <w:basedOn w:val="Normal"/>
    <w:next w:val="Normal"/>
    <w:link w:val="TitleChar"/>
    <w:uiPriority w:val="10"/>
    <w:qFormat/>
    <w:rsid w:val="000D3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6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6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6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66E"/>
    <w:pPr>
      <w:spacing w:before="160"/>
      <w:jc w:val="center"/>
    </w:pPr>
    <w:rPr>
      <w:i/>
      <w:iCs/>
      <w:color w:val="404040" w:themeColor="text1" w:themeTint="BF"/>
    </w:rPr>
  </w:style>
  <w:style w:type="character" w:customStyle="1" w:styleId="QuoteChar">
    <w:name w:val="Quote Char"/>
    <w:basedOn w:val="DefaultParagraphFont"/>
    <w:link w:val="Quote"/>
    <w:uiPriority w:val="29"/>
    <w:rsid w:val="000D366E"/>
    <w:rPr>
      <w:i/>
      <w:iCs/>
      <w:color w:val="404040" w:themeColor="text1" w:themeTint="BF"/>
    </w:rPr>
  </w:style>
  <w:style w:type="paragraph" w:styleId="ListParagraph">
    <w:name w:val="List Paragraph"/>
    <w:basedOn w:val="Normal"/>
    <w:uiPriority w:val="34"/>
    <w:qFormat/>
    <w:rsid w:val="000D366E"/>
    <w:pPr>
      <w:ind w:left="720"/>
      <w:contextualSpacing/>
    </w:pPr>
  </w:style>
  <w:style w:type="character" w:styleId="IntenseEmphasis">
    <w:name w:val="Intense Emphasis"/>
    <w:basedOn w:val="DefaultParagraphFont"/>
    <w:uiPriority w:val="21"/>
    <w:qFormat/>
    <w:rsid w:val="000D366E"/>
    <w:rPr>
      <w:i/>
      <w:iCs/>
      <w:color w:val="2F5496" w:themeColor="accent1" w:themeShade="BF"/>
    </w:rPr>
  </w:style>
  <w:style w:type="paragraph" w:styleId="IntenseQuote">
    <w:name w:val="Intense Quote"/>
    <w:basedOn w:val="Normal"/>
    <w:next w:val="Normal"/>
    <w:link w:val="IntenseQuoteChar"/>
    <w:uiPriority w:val="30"/>
    <w:qFormat/>
    <w:rsid w:val="000D36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366E"/>
    <w:rPr>
      <w:i/>
      <w:iCs/>
      <w:color w:val="2F5496" w:themeColor="accent1" w:themeShade="BF"/>
    </w:rPr>
  </w:style>
  <w:style w:type="character" w:styleId="IntenseReference">
    <w:name w:val="Intense Reference"/>
    <w:basedOn w:val="DefaultParagraphFont"/>
    <w:uiPriority w:val="32"/>
    <w:qFormat/>
    <w:rsid w:val="000D366E"/>
    <w:rPr>
      <w:b/>
      <w:bCs/>
      <w:smallCaps/>
      <w:color w:val="2F5496" w:themeColor="accent1" w:themeShade="BF"/>
      <w:spacing w:val="5"/>
    </w:rPr>
  </w:style>
  <w:style w:type="character" w:styleId="Hyperlink">
    <w:name w:val="Hyperlink"/>
    <w:basedOn w:val="DefaultParagraphFont"/>
    <w:uiPriority w:val="99"/>
    <w:unhideWhenUsed/>
    <w:rsid w:val="00B62202"/>
    <w:rPr>
      <w:color w:val="0563C1" w:themeColor="hyperlink"/>
      <w:u w:val="single"/>
    </w:rPr>
  </w:style>
  <w:style w:type="character" w:styleId="UnresolvedMention">
    <w:name w:val="Unresolved Mention"/>
    <w:basedOn w:val="DefaultParagraphFont"/>
    <w:uiPriority w:val="99"/>
    <w:semiHidden/>
    <w:unhideWhenUsed/>
    <w:rsid w:val="00B62202"/>
    <w:rPr>
      <w:color w:val="605E5C"/>
      <w:shd w:val="clear" w:color="auto" w:fill="E1DFDD"/>
    </w:rPr>
  </w:style>
  <w:style w:type="character" w:styleId="FollowedHyperlink">
    <w:name w:val="FollowedHyperlink"/>
    <w:basedOn w:val="DefaultParagraphFont"/>
    <w:uiPriority w:val="99"/>
    <w:semiHidden/>
    <w:unhideWhenUsed/>
    <w:rsid w:val="00B62202"/>
    <w:rPr>
      <w:color w:val="954F72" w:themeColor="followedHyperlink"/>
      <w:u w:val="single"/>
    </w:rPr>
  </w:style>
  <w:style w:type="paragraph" w:styleId="Header">
    <w:name w:val="header"/>
    <w:basedOn w:val="Normal"/>
    <w:link w:val="HeaderChar"/>
    <w:uiPriority w:val="99"/>
    <w:unhideWhenUsed/>
    <w:rsid w:val="00C57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C34"/>
  </w:style>
  <w:style w:type="paragraph" w:styleId="Footer">
    <w:name w:val="footer"/>
    <w:basedOn w:val="Normal"/>
    <w:link w:val="FooterChar"/>
    <w:uiPriority w:val="99"/>
    <w:unhideWhenUsed/>
    <w:rsid w:val="00C57C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mj.researchcommons.org/cgi/viewcontent.cgi?article=1025&amp;context=journal" TargetMode="External"/><Relationship Id="rId3" Type="http://schemas.openxmlformats.org/officeDocument/2006/relationships/settings" Target="settings.xml"/><Relationship Id="rId7" Type="http://schemas.openxmlformats.org/officeDocument/2006/relationships/hyperlink" Target="https://www.ilae.org/files/ilaeGuideline/Definition-of-Drug-Resistant-Epilepsy-2009-1528-1167.2009.023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11</Pages>
  <Words>3462</Words>
  <Characters>19740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Шерзод Хусниддинов</dc:creator>
  <cp:keywords/>
  <dc:description/>
  <cp:lastModifiedBy>Шерзод Хусниддинов</cp:lastModifiedBy>
  <cp:revision>12</cp:revision>
  <dcterms:created xsi:type="dcterms:W3CDTF">2025-09-01T08:03:00Z</dcterms:created>
  <dcterms:modified xsi:type="dcterms:W3CDTF">2025-12-25T17:46:00Z</dcterms:modified>
</cp:coreProperties>
</file>